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1D" w:rsidRPr="00B36BDF" w:rsidRDefault="00D12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/>
        </w:rPr>
      </w:pPr>
      <w:r w:rsidRPr="00B36BDF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3533775</wp:posOffset>
            </wp:positionH>
            <wp:positionV relativeFrom="page">
              <wp:posOffset>457200</wp:posOffset>
            </wp:positionV>
            <wp:extent cx="904875" cy="904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INFORMACIONI PAKET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lang/>
        </w:rPr>
      </w:pPr>
    </w:p>
    <w:p w:rsidR="007A73CB" w:rsidRPr="00B36BDF" w:rsidRDefault="00B36BDF" w:rsidP="007A73CB">
      <w:pPr>
        <w:widowControl w:val="0"/>
        <w:autoSpaceDE w:val="0"/>
        <w:autoSpaceDN w:val="0"/>
        <w:adjustRightInd w:val="0"/>
        <w:spacing w:after="0" w:line="239" w:lineRule="auto"/>
        <w:ind w:left="640"/>
        <w:jc w:val="center"/>
        <w:rPr>
          <w:rFonts w:ascii="Arial" w:hAnsi="Arial" w:cs="Arial"/>
          <w:b/>
          <w:bCs/>
          <w:color w:val="1F497D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 xml:space="preserve">MEĐUNARODNI </w:t>
      </w:r>
      <w:r w:rsidR="00E1241D" w:rsidRPr="00B36BDF">
        <w:rPr>
          <w:rFonts w:ascii="Arial" w:hAnsi="Arial" w:cs="Arial"/>
          <w:b/>
          <w:bCs/>
          <w:color w:val="1F497D"/>
          <w:lang/>
        </w:rPr>
        <w:t xml:space="preserve">PROGRAM OSNOVNIH STUDIJA </w:t>
      </w:r>
    </w:p>
    <w:p w:rsidR="00E1241D" w:rsidRPr="00B36BDF" w:rsidRDefault="00E1241D" w:rsidP="007A73CB">
      <w:pPr>
        <w:widowControl w:val="0"/>
        <w:autoSpaceDE w:val="0"/>
        <w:autoSpaceDN w:val="0"/>
        <w:adjustRightInd w:val="0"/>
        <w:spacing w:after="0" w:line="239" w:lineRule="auto"/>
        <w:ind w:left="640"/>
        <w:jc w:val="center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“</w:t>
      </w:r>
      <w:r w:rsidR="00B36BDF" w:rsidRPr="00B36BDF">
        <w:rPr>
          <w:rFonts w:ascii="Arial" w:hAnsi="Arial" w:cs="Arial"/>
          <w:b/>
          <w:bCs/>
          <w:color w:val="1F497D"/>
          <w:lang/>
        </w:rPr>
        <w:t>BUSINESS AND MANAGEMENT</w:t>
      </w:r>
      <w:r w:rsidRPr="00B36BDF">
        <w:rPr>
          <w:rFonts w:ascii="Arial" w:hAnsi="Arial" w:cs="Arial"/>
          <w:b/>
          <w:bCs/>
          <w:color w:val="1F497D"/>
          <w:lang/>
        </w:rPr>
        <w:t>”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OSNOVNE INFORMACIJE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lang/>
        </w:rPr>
      </w:pPr>
    </w:p>
    <w:p w:rsidR="00E1241D" w:rsidRPr="00B36BDF" w:rsidRDefault="00280DF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Od školske 2020/20</w:t>
      </w:r>
      <w:r w:rsidR="009C474C" w:rsidRPr="00B36BDF">
        <w:rPr>
          <w:rFonts w:ascii="Arial" w:hAnsi="Arial" w:cs="Arial"/>
          <w:lang/>
        </w:rPr>
        <w:t>21</w:t>
      </w:r>
      <w:r w:rsidR="00E1241D" w:rsidRPr="00B36BDF">
        <w:rPr>
          <w:rFonts w:ascii="Arial" w:hAnsi="Arial" w:cs="Arial"/>
          <w:lang/>
        </w:rPr>
        <w:t>. godine na Ekonomskom fakultetu U</w:t>
      </w:r>
      <w:r w:rsidR="009C474C" w:rsidRPr="00B36BDF">
        <w:rPr>
          <w:rFonts w:ascii="Arial" w:hAnsi="Arial" w:cs="Arial"/>
          <w:lang/>
        </w:rPr>
        <w:t>niverziteta u Beogradu realiz</w:t>
      </w:r>
      <w:r w:rsidR="00B36BDF">
        <w:rPr>
          <w:rFonts w:ascii="Arial" w:hAnsi="Arial" w:cs="Arial"/>
          <w:lang/>
        </w:rPr>
        <w:t>uje</w:t>
      </w:r>
      <w:r w:rsidR="00E1241D" w:rsidRPr="00B36BDF">
        <w:rPr>
          <w:rFonts w:ascii="Arial" w:hAnsi="Arial" w:cs="Arial"/>
          <w:lang/>
        </w:rPr>
        <w:t xml:space="preserve"> se program osnovnih studija „</w:t>
      </w:r>
      <w:r w:rsidR="00B36BDF">
        <w:rPr>
          <w:rFonts w:ascii="Arial" w:hAnsi="Arial" w:cs="Arial"/>
          <w:lang/>
        </w:rPr>
        <w:t>Business and Management</w:t>
      </w:r>
      <w:r w:rsidR="00E1241D" w:rsidRPr="00B36BDF">
        <w:rPr>
          <w:rFonts w:ascii="Arial" w:hAnsi="Arial" w:cs="Arial"/>
          <w:lang/>
        </w:rPr>
        <w:t>“, koji će studentima obezbeđivati dve diplome – diplomu Univerziteta u Londonu (fakultet-nosilac Londonska škola ekonomije i političkih nauka) i diplomu Univerziteta u Beogradu (Ekonomski fakultet), a na osnovu sporazuma zaključenog između Ekonomskog fakulteta Univerziteta u Beogradu</w:t>
      </w:r>
      <w:r w:rsidR="009C474C" w:rsidRPr="00B36BDF">
        <w:rPr>
          <w:rFonts w:ascii="Arial" w:hAnsi="Arial" w:cs="Arial"/>
          <w:lang/>
        </w:rPr>
        <w:t xml:space="preserve"> i Univerziteta u Londonu, 14. j</w:t>
      </w:r>
      <w:r w:rsidR="00E1241D" w:rsidRPr="00B36BDF">
        <w:rPr>
          <w:rFonts w:ascii="Arial" w:hAnsi="Arial" w:cs="Arial"/>
          <w:lang/>
        </w:rPr>
        <w:t>una 2016. godine.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lang/>
        </w:rPr>
      </w:pPr>
    </w:p>
    <w:p w:rsidR="00E1241D" w:rsidRPr="00B36BDF" w:rsidRDefault="00E1241D" w:rsidP="00B36BD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Cilj </w:t>
      </w:r>
      <w:r w:rsidR="00B36BDF">
        <w:rPr>
          <w:rFonts w:ascii="Arial" w:hAnsi="Arial" w:cs="Arial"/>
          <w:lang/>
        </w:rPr>
        <w:t>ovog programa je</w:t>
      </w:r>
      <w:r w:rsidRPr="00B36BDF">
        <w:rPr>
          <w:rFonts w:ascii="Arial" w:hAnsi="Arial" w:cs="Arial"/>
          <w:lang/>
        </w:rPr>
        <w:t xml:space="preserve"> da studentima </w:t>
      </w:r>
      <w:r w:rsidR="00B36BDF">
        <w:rPr>
          <w:rFonts w:ascii="Arial" w:hAnsi="Arial" w:cs="Arial"/>
          <w:lang/>
        </w:rPr>
        <w:t xml:space="preserve">pruži fundamentalna znanja i analitičke veštine iz oblasti savremenog poslovanja, u globalizovanom i sve više digitalizovanom okruženju. 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82" w:lineRule="exact"/>
        <w:rPr>
          <w:rFonts w:ascii="Arial" w:hAnsi="Arial" w:cs="Arial"/>
          <w:highlight w:val="yellow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Ovaj program priprema studente za karijeru </w:t>
      </w:r>
      <w:r w:rsidR="009007BF" w:rsidRPr="00B36BDF">
        <w:rPr>
          <w:rFonts w:ascii="Arial" w:hAnsi="Arial" w:cs="Arial"/>
          <w:lang/>
        </w:rPr>
        <w:t xml:space="preserve">u </w:t>
      </w:r>
      <w:r w:rsidR="00B36BDF">
        <w:rPr>
          <w:rFonts w:ascii="Arial" w:hAnsi="Arial" w:cs="Arial"/>
          <w:lang/>
        </w:rPr>
        <w:t xml:space="preserve">širokom portfoliju zanimanja u oblastiposlovnog i finansijskog </w:t>
      </w:r>
      <w:r w:rsidR="009007BF" w:rsidRPr="00B36BDF">
        <w:rPr>
          <w:rFonts w:ascii="Arial" w:hAnsi="Arial" w:cs="Arial"/>
          <w:lang/>
        </w:rPr>
        <w:t xml:space="preserve">menadžmenta, </w:t>
      </w:r>
      <w:r w:rsidR="00B36BDF">
        <w:rPr>
          <w:rFonts w:ascii="Arial" w:hAnsi="Arial" w:cs="Arial"/>
          <w:lang/>
        </w:rPr>
        <w:t xml:space="preserve">marketinga, elektronske trgovine, </w:t>
      </w:r>
      <w:r w:rsidR="009007BF" w:rsidRPr="00B36BDF">
        <w:rPr>
          <w:rFonts w:ascii="Arial" w:hAnsi="Arial" w:cs="Arial"/>
          <w:lang/>
        </w:rPr>
        <w:t xml:space="preserve">računovodstva, konsaltinga i </w:t>
      </w:r>
      <w:r w:rsidR="00B36BDF">
        <w:rPr>
          <w:rFonts w:ascii="Arial" w:hAnsi="Arial" w:cs="Arial"/>
          <w:lang/>
        </w:rPr>
        <w:t>sl</w:t>
      </w:r>
      <w:r w:rsidR="009007BF" w:rsidRPr="00B36BDF">
        <w:rPr>
          <w:rFonts w:ascii="Arial" w:hAnsi="Arial" w:cs="Arial"/>
          <w:lang/>
        </w:rPr>
        <w:t xml:space="preserve">. 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Osnovne studije traju ukupno četiri godine i nose 240 ESPB. Po završetku prve godine osnovnih studija na Ekonomskom fakultetu u Beogradu, po domaćem programu, zainteresovani studenti koji ispunjavaju definisane uslove moći će da nastave naredne tri godine studija u okviru međunarodnog programa „</w:t>
      </w:r>
      <w:r w:rsidR="00B36BDF">
        <w:rPr>
          <w:rFonts w:ascii="Arial" w:hAnsi="Arial" w:cs="Arial"/>
          <w:i/>
          <w:lang/>
        </w:rPr>
        <w:t>Business and Management</w:t>
      </w:r>
      <w:r w:rsidRPr="00B36BDF">
        <w:rPr>
          <w:rFonts w:ascii="Arial" w:hAnsi="Arial" w:cs="Arial"/>
          <w:lang/>
        </w:rPr>
        <w:t>“.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  <w:sectPr w:rsidR="00E1241D" w:rsidRPr="00B36BDF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Nakon položenih 7 jednosemestr</w:t>
      </w:r>
      <w:r w:rsidR="00B133EF" w:rsidRPr="00B36BDF">
        <w:rPr>
          <w:rFonts w:ascii="Arial" w:hAnsi="Arial" w:cs="Arial"/>
          <w:lang/>
        </w:rPr>
        <w:t>alnih ispita prve fakultetu i 11 dvosemestralnih+2</w:t>
      </w:r>
      <w:r w:rsidRPr="00B36BDF">
        <w:rPr>
          <w:rFonts w:ascii="Arial" w:hAnsi="Arial" w:cs="Arial"/>
          <w:lang/>
        </w:rPr>
        <w:t xml:space="preserve"> jednosemestralna Londonu, studenti istovremeno stiču dve diplome: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br w:type="column"/>
      </w: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20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godine osnovnih studija na Ekonomskom ispita propisanih programom Univerziteta u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  <w:sectPr w:rsidR="00E1241D" w:rsidRPr="00B36BDF">
          <w:type w:val="continuous"/>
          <w:pgSz w:w="12240" w:h="15840"/>
          <w:pgMar w:top="1440" w:right="1440" w:bottom="1440" w:left="1440" w:header="720" w:footer="720" w:gutter="0"/>
          <w:cols w:num="2" w:space="100" w:equalWidth="0">
            <w:col w:w="5020" w:space="100"/>
            <w:col w:w="4240"/>
          </w:cols>
          <w:noEndnote/>
        </w:sect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81" w:lineRule="exact"/>
        <w:rPr>
          <w:rFonts w:ascii="Arial" w:hAnsi="Arial" w:cs="Arial"/>
          <w:lang/>
        </w:rPr>
      </w:pPr>
    </w:p>
    <w:p w:rsidR="00E1241D" w:rsidRPr="00B36BDF" w:rsidRDefault="00E1241D" w:rsidP="00A9565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diplomu Univerziteta u Londonu (fakultet-nosilac Londonska škola ekonomije i političkih nauka) i 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lang/>
        </w:rPr>
      </w:pPr>
    </w:p>
    <w:p w:rsidR="00E1241D" w:rsidRPr="00B36BDF" w:rsidRDefault="00E1241D" w:rsidP="00A9565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diplomu Univerziteta u Beogradu (Ekonomski fakultet). 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Univerzitet u Londonu organizuje međunarodne programe osnovnih studija od 1858. godine. Sedam dobitnika Nobelove nagrade je diplomiralo na međunarodnim programima Univerziteta u Lodnonu, dok je na Londonskoj školi ekonomije i političkih nauka (LSE) diplomiralo ili bilo angažovano 16 dobitnika Nobelove nagrade. Diploma izdata od strane Univerziteta u Londonu studentima ovog Međunarodnog programa izdata je po standardima koji važe na fakultetu – nosiocu (LSE), što ovu diplomu čini međunarodno prestižnom. LSE je najbolje rangirana visokoškolska ustanova za oblast </w:t>
      </w:r>
      <w:r w:rsidR="00B133EF" w:rsidRPr="00B36BDF">
        <w:rPr>
          <w:rFonts w:ascii="Arial" w:hAnsi="Arial" w:cs="Arial"/>
          <w:lang/>
        </w:rPr>
        <w:t>biznisa i menadžmenta</w:t>
      </w:r>
      <w:r w:rsidRPr="00B36BDF">
        <w:rPr>
          <w:rFonts w:ascii="Arial" w:hAnsi="Arial" w:cs="Arial"/>
          <w:lang/>
        </w:rPr>
        <w:t xml:space="preserve"> u Evropi.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  <w:sectPr w:rsidR="00E1241D" w:rsidRPr="00B36BDF">
          <w:type w:val="continuous"/>
          <w:pgSz w:w="12240" w:h="15840"/>
          <w:pgMar w:top="1440" w:right="1440" w:bottom="1440" w:left="1440" w:header="720" w:footer="720" w:gutter="0"/>
          <w:cols w:space="100" w:equalWidth="0">
            <w:col w:w="9360"/>
          </w:cols>
          <w:noEndnote/>
        </w:sect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lang/>
        </w:rPr>
      </w:pPr>
      <w:bookmarkStart w:id="0" w:name="page2"/>
      <w:bookmarkEnd w:id="0"/>
    </w:p>
    <w:p w:rsidR="00E1241D" w:rsidRPr="00B36BDF" w:rsidRDefault="00E1241D" w:rsidP="000C731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Po završetku ovog programa, studenti mogu nastaviti master studije na LSE u Londonu, a u toku studija mogu</w:t>
      </w:r>
      <w:r w:rsidR="00B133EF" w:rsidRPr="00B36BDF">
        <w:rPr>
          <w:rFonts w:ascii="Arial" w:hAnsi="Arial" w:cs="Arial"/>
          <w:lang/>
        </w:rPr>
        <w:t xml:space="preserve"> provest</w:t>
      </w:r>
      <w:r w:rsidR="00B36BDF">
        <w:rPr>
          <w:rFonts w:ascii="Arial" w:hAnsi="Arial" w:cs="Arial"/>
          <w:lang/>
        </w:rPr>
        <w:t>i</w:t>
      </w:r>
      <w:r w:rsidR="00B133EF" w:rsidRPr="00B36BDF">
        <w:rPr>
          <w:rFonts w:ascii="Arial" w:hAnsi="Arial" w:cs="Arial"/>
          <w:lang/>
        </w:rPr>
        <w:t xml:space="preserve"> jednu godinu studija na LSE kao i</w:t>
      </w:r>
      <w:r w:rsidRPr="00B36BDF">
        <w:rPr>
          <w:rFonts w:ascii="Arial" w:hAnsi="Arial" w:cs="Arial"/>
          <w:lang/>
        </w:rPr>
        <w:t xml:space="preserve"> učestvovati u programima međunarodne razmene studenata na drugim univerzitetima koji realizuju ovakav program </w:t>
      </w:r>
      <w:r w:rsidR="00B133EF" w:rsidRPr="00B36BDF">
        <w:rPr>
          <w:rFonts w:ascii="Arial" w:hAnsi="Arial" w:cs="Arial"/>
          <w:lang/>
        </w:rPr>
        <w:t>(npr. u Moskvi, Singapuru i dr.)</w:t>
      </w:r>
      <w:r w:rsidRPr="00B36BDF">
        <w:rPr>
          <w:rFonts w:ascii="Arial" w:hAnsi="Arial" w:cs="Arial"/>
          <w:lang/>
        </w:rPr>
        <w:t>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NASTAVNI PLAN, PROGRAM I LITERATURA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lang/>
        </w:rPr>
      </w:pPr>
    </w:p>
    <w:p w:rsidR="00E1241D" w:rsidRPr="00B36BDF" w:rsidRDefault="00B36BD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Ovaj program se realizuje po </w:t>
      </w:r>
      <w:r w:rsidR="00113A17">
        <w:rPr>
          <w:rFonts w:ascii="Arial" w:hAnsi="Arial" w:cs="Arial"/>
          <w:lang/>
        </w:rPr>
        <w:t xml:space="preserve">savremenom </w:t>
      </w:r>
      <w:r w:rsidR="00E1241D" w:rsidRPr="00B36BDF">
        <w:rPr>
          <w:rFonts w:ascii="Arial" w:hAnsi="Arial" w:cs="Arial"/>
          <w:lang/>
        </w:rPr>
        <w:t>nastavn</w:t>
      </w:r>
      <w:r>
        <w:rPr>
          <w:rFonts w:ascii="Arial" w:hAnsi="Arial" w:cs="Arial"/>
          <w:lang/>
        </w:rPr>
        <w:t>om</w:t>
      </w:r>
      <w:r w:rsidR="00E1241D" w:rsidRPr="00B36BDF">
        <w:rPr>
          <w:rFonts w:ascii="Arial" w:hAnsi="Arial" w:cs="Arial"/>
          <w:lang/>
        </w:rPr>
        <w:t xml:space="preserve"> program</w:t>
      </w:r>
      <w:r>
        <w:rPr>
          <w:rFonts w:ascii="Arial" w:hAnsi="Arial" w:cs="Arial"/>
          <w:lang/>
        </w:rPr>
        <w:t>u i</w:t>
      </w:r>
      <w:r w:rsidR="00E1241D" w:rsidRPr="00B36BDF">
        <w:rPr>
          <w:rFonts w:ascii="Arial" w:hAnsi="Arial" w:cs="Arial"/>
          <w:lang/>
        </w:rPr>
        <w:t xml:space="preserve"> literatur</w:t>
      </w:r>
      <w:r>
        <w:rPr>
          <w:rFonts w:ascii="Arial" w:hAnsi="Arial" w:cs="Arial"/>
          <w:lang/>
        </w:rPr>
        <w:t xml:space="preserve">i definisanim od strane </w:t>
      </w:r>
      <w:r w:rsidRPr="00B36BDF">
        <w:rPr>
          <w:rFonts w:ascii="Arial" w:hAnsi="Arial" w:cs="Arial"/>
          <w:lang/>
        </w:rPr>
        <w:t>LSE, kao fakultet</w:t>
      </w:r>
      <w:r w:rsidR="00113A17">
        <w:rPr>
          <w:rFonts w:ascii="Arial" w:hAnsi="Arial" w:cs="Arial"/>
          <w:lang/>
        </w:rPr>
        <w:t>a</w:t>
      </w:r>
      <w:r w:rsidRPr="00B36BDF">
        <w:rPr>
          <w:rFonts w:ascii="Arial" w:hAnsi="Arial" w:cs="Arial"/>
          <w:lang/>
        </w:rPr>
        <w:t>-nosi</w:t>
      </w:r>
      <w:r w:rsidR="00113A17">
        <w:rPr>
          <w:rFonts w:ascii="Arial" w:hAnsi="Arial" w:cs="Arial"/>
          <w:lang/>
        </w:rPr>
        <w:t>oca</w:t>
      </w:r>
      <w:r w:rsidRPr="00B36BDF">
        <w:rPr>
          <w:rFonts w:ascii="Arial" w:hAnsi="Arial" w:cs="Arial"/>
          <w:lang/>
        </w:rPr>
        <w:t xml:space="preserve"> programa ispred Univerziteta u Londonu</w:t>
      </w:r>
      <w:r w:rsidR="00113A17">
        <w:rPr>
          <w:rFonts w:ascii="Arial" w:hAnsi="Arial" w:cs="Arial"/>
          <w:lang/>
        </w:rPr>
        <w:t>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Nastavni p</w:t>
      </w:r>
      <w:r w:rsidR="00113A17">
        <w:rPr>
          <w:rFonts w:ascii="Arial" w:hAnsi="Arial" w:cs="Arial"/>
          <w:lang/>
        </w:rPr>
        <w:t>rogram</w:t>
      </w:r>
      <w:r w:rsidRPr="00B36BDF">
        <w:rPr>
          <w:rFonts w:ascii="Arial" w:hAnsi="Arial" w:cs="Arial"/>
          <w:lang/>
        </w:rPr>
        <w:t xml:space="preserve"> sastoji se od 7 jednosemestralnih predmeta prve godine Ekonomskog fakulteta</w:t>
      </w:r>
      <w:r w:rsidR="00BD579A" w:rsidRPr="00B36BDF">
        <w:rPr>
          <w:rStyle w:val="FootnoteReference"/>
          <w:rFonts w:ascii="Arial" w:hAnsi="Arial" w:cs="Arial"/>
          <w:lang/>
        </w:rPr>
        <w:footnoteReference w:id="2"/>
      </w:r>
      <w:r w:rsidR="00B133EF" w:rsidRPr="00B36BDF">
        <w:rPr>
          <w:rFonts w:ascii="Arial" w:hAnsi="Arial" w:cs="Arial"/>
          <w:lang/>
        </w:rPr>
        <w:t xml:space="preserve"> i 11</w:t>
      </w:r>
      <w:r w:rsidR="00180EB4" w:rsidRPr="00B36BDF">
        <w:rPr>
          <w:rFonts w:ascii="Arial" w:hAnsi="Arial" w:cs="Arial"/>
          <w:lang/>
        </w:rPr>
        <w:t xml:space="preserve"> dvosemestralnih + 2</w:t>
      </w:r>
      <w:r w:rsidRPr="00B36BDF">
        <w:rPr>
          <w:rFonts w:ascii="Arial" w:hAnsi="Arial" w:cs="Arial"/>
          <w:lang/>
        </w:rPr>
        <w:t xml:space="preserve"> jednosemestralna predmeta propisanih od strane LSE, koji se pohađaju na drugoj, trećoj i četvrtoj godini studija.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lang/>
        </w:rPr>
      </w:pPr>
    </w:p>
    <w:p w:rsidR="00E1241D" w:rsidRDefault="00E1241D" w:rsidP="00BD579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Forma i način ispitivanja na ovom međunarodnom programu u potpunosti su uporedivi sa planom i programom studiranja i režimom ispitivanja koji se primenjuje na studijama koje LSE realizuje u Londonu, tako da su znanja i veštine stečena kroz ovaj program u potpunosti uporedivi sa znanjima i veštinama koja se stiču studiranjem na LSE.</w:t>
      </w:r>
    </w:p>
    <w:p w:rsidR="00113A17" w:rsidRPr="00B36BDF" w:rsidRDefault="00113A17" w:rsidP="00BD579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lang/>
        </w:rPr>
      </w:pPr>
    </w:p>
    <w:p w:rsidR="00E1241D" w:rsidRDefault="007A73C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Ovaj p</w:t>
      </w:r>
      <w:r w:rsidR="00E1241D" w:rsidRPr="00B36BDF">
        <w:rPr>
          <w:rFonts w:ascii="Arial" w:hAnsi="Arial" w:cs="Arial"/>
          <w:lang/>
        </w:rPr>
        <w:t>rogram, na drugoj, trećoj i četvrtoj godini studija, definisan od strane LSE sastoji se od sledećih predmeta i literature:</w:t>
      </w:r>
    </w:p>
    <w:p w:rsidR="00113A17" w:rsidRDefault="00113A1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lang/>
        </w:rPr>
      </w:pPr>
    </w:p>
    <w:p w:rsidR="00113A17" w:rsidRPr="00B36BDF" w:rsidRDefault="00113A1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lang/>
        </w:rPr>
      </w:pPr>
    </w:p>
    <w:p w:rsidR="007463EF" w:rsidRPr="00B36BDF" w:rsidRDefault="00E1241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Introduction to economics </w:t>
      </w:r>
    </w:p>
    <w:p w:rsidR="00746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lang/>
        </w:rPr>
      </w:pPr>
      <w:r w:rsidRPr="00B36BDF">
        <w:rPr>
          <w:rFonts w:ascii="Arial" w:hAnsi="Arial" w:cs="Arial"/>
          <w:i/>
          <w:iCs/>
          <w:lang/>
        </w:rPr>
        <w:t>Literature</w:t>
      </w:r>
    </w:p>
    <w:p w:rsidR="00746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Primary textbook: Begg, D., S. Fischer and R. Dornbusch </w:t>
      </w:r>
      <w:r w:rsidRPr="00B36BDF">
        <w:rPr>
          <w:rFonts w:ascii="Arial" w:hAnsi="Arial" w:cs="Arial"/>
          <w:i/>
          <w:lang/>
        </w:rPr>
        <w:t>Economics</w:t>
      </w:r>
      <w:r w:rsidRPr="00B36BDF">
        <w:rPr>
          <w:rFonts w:ascii="Arial" w:hAnsi="Arial" w:cs="Arial"/>
          <w:lang/>
        </w:rPr>
        <w:t xml:space="preserve">. (McGraw Hill). </w:t>
      </w:r>
    </w:p>
    <w:p w:rsidR="00B13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Supplementary textbooks: Lipsey, R.G. and K.A. Chrystal </w:t>
      </w:r>
      <w:r w:rsidRPr="00B36BDF">
        <w:rPr>
          <w:rFonts w:ascii="Arial" w:hAnsi="Arial" w:cs="Arial"/>
          <w:i/>
          <w:lang/>
        </w:rPr>
        <w:t>Economics</w:t>
      </w:r>
      <w:r w:rsidRPr="00B36BDF">
        <w:rPr>
          <w:rFonts w:ascii="Arial" w:hAnsi="Arial" w:cs="Arial"/>
          <w:lang/>
        </w:rPr>
        <w:t xml:space="preserve">. (Oxford University Press) and Witztum, A. </w:t>
      </w:r>
      <w:r w:rsidRPr="00B36BDF">
        <w:rPr>
          <w:rFonts w:ascii="Arial" w:hAnsi="Arial" w:cs="Arial"/>
          <w:i/>
          <w:lang/>
        </w:rPr>
        <w:t>Economics</w:t>
      </w:r>
      <w:r w:rsidRPr="00B36BDF">
        <w:rPr>
          <w:rFonts w:ascii="Arial" w:hAnsi="Arial" w:cs="Arial"/>
          <w:lang/>
        </w:rPr>
        <w:t xml:space="preserve"> (Oxford: Oxford University Press) </w:t>
      </w: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7463EF" w:rsidRPr="00B36BDF" w:rsidRDefault="00E1241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Mathematics 1 (half course) </w:t>
      </w:r>
    </w:p>
    <w:p w:rsidR="00746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lang/>
        </w:rPr>
      </w:pPr>
      <w:r w:rsidRPr="00B36BDF">
        <w:rPr>
          <w:rFonts w:ascii="Arial" w:hAnsi="Arial" w:cs="Arial"/>
          <w:i/>
          <w:iCs/>
          <w:lang/>
        </w:rPr>
        <w:t>Literature</w:t>
      </w:r>
    </w:p>
    <w:p w:rsidR="00B13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Anthony, M. and N. Biggs </w:t>
      </w:r>
      <w:r w:rsidRPr="00B36BDF">
        <w:rPr>
          <w:rFonts w:ascii="Arial" w:hAnsi="Arial" w:cs="Arial"/>
          <w:i/>
          <w:lang/>
        </w:rPr>
        <w:t>Mathematics for Economics and Finance</w:t>
      </w:r>
      <w:r w:rsidRPr="00B36BDF">
        <w:rPr>
          <w:rFonts w:ascii="Arial" w:hAnsi="Arial" w:cs="Arial"/>
          <w:lang/>
        </w:rPr>
        <w:t>. (Cambridge: Cambridge University Press</w:t>
      </w:r>
      <w:r w:rsidR="00B133EF" w:rsidRPr="00B36BDF">
        <w:rPr>
          <w:rFonts w:ascii="Arial" w:hAnsi="Arial" w:cs="Arial"/>
          <w:lang/>
        </w:rPr>
        <w:t>)</w:t>
      </w: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7463EF" w:rsidRPr="00B36BDF" w:rsidRDefault="00E1241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Statistics 1 (half course) </w:t>
      </w:r>
    </w:p>
    <w:p w:rsidR="00746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lang/>
        </w:rPr>
      </w:pPr>
      <w:r w:rsidRPr="00B36BDF">
        <w:rPr>
          <w:rFonts w:ascii="Arial" w:hAnsi="Arial" w:cs="Arial"/>
          <w:i/>
          <w:iCs/>
          <w:lang/>
        </w:rPr>
        <w:t>Literatur</w:t>
      </w:r>
      <w:r w:rsidR="00B133EF" w:rsidRPr="00B36BDF">
        <w:rPr>
          <w:rFonts w:ascii="Arial" w:hAnsi="Arial" w:cs="Arial"/>
          <w:i/>
          <w:iCs/>
          <w:lang/>
        </w:rPr>
        <w:t>e</w:t>
      </w:r>
    </w:p>
    <w:p w:rsidR="00746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Newbold,P., W. Carlson and B. Thorne </w:t>
      </w:r>
      <w:r w:rsidRPr="00B36BDF">
        <w:rPr>
          <w:rFonts w:ascii="Arial" w:hAnsi="Arial" w:cs="Arial"/>
          <w:i/>
          <w:lang/>
        </w:rPr>
        <w:t>Statistics for Business and Economics</w:t>
      </w:r>
      <w:r w:rsidRPr="00B36BDF">
        <w:rPr>
          <w:rFonts w:ascii="Arial" w:hAnsi="Arial" w:cs="Arial"/>
          <w:lang/>
        </w:rPr>
        <w:t xml:space="preserve">. (Pearson Education) </w:t>
      </w:r>
    </w:p>
    <w:p w:rsidR="00B133EF" w:rsidRPr="00B36BDF" w:rsidRDefault="00E1241D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Lindley, D.V. andW.F. Scott. </w:t>
      </w:r>
      <w:r w:rsidRPr="00B36BDF">
        <w:rPr>
          <w:rFonts w:ascii="Arial" w:hAnsi="Arial" w:cs="Arial"/>
          <w:i/>
          <w:lang/>
        </w:rPr>
        <w:t>New Cambridge Statistical Tables</w:t>
      </w:r>
      <w:r w:rsidRPr="00B36BDF">
        <w:rPr>
          <w:rFonts w:ascii="Arial" w:hAnsi="Arial" w:cs="Arial"/>
          <w:lang/>
        </w:rPr>
        <w:t>. (Cambridge: Cambridge University Press)</w:t>
      </w: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7463EF" w:rsidRPr="00B36BDF" w:rsidRDefault="00B133EF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Principles of Accounting </w:t>
      </w:r>
    </w:p>
    <w:p w:rsidR="00746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B13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Leiwy, D. and Perks, R. Accounting: Understanding and Practice, McGraw-Hill</w:t>
      </w: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7463EF" w:rsidRPr="00B36BDF" w:rsidRDefault="00B133EF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Business management in a global context </w:t>
      </w:r>
    </w:p>
    <w:p w:rsidR="00746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Literature </w:t>
      </w:r>
    </w:p>
    <w:p w:rsidR="00746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241F20"/>
          <w:lang/>
        </w:rPr>
      </w:pPr>
      <w:r w:rsidRPr="00B36BDF">
        <w:rPr>
          <w:rFonts w:ascii="Arial" w:eastAsia="Times New Roman" w:hAnsi="Arial" w:cs="Arial"/>
          <w:color w:val="241F20"/>
          <w:lang/>
        </w:rPr>
        <w:t>Peng, M. and Meyer, K. (2011).</w:t>
      </w:r>
      <w:r w:rsidRPr="00B36BDF">
        <w:rPr>
          <w:rFonts w:ascii="Arial" w:eastAsia="Times New Roman" w:hAnsi="Arial" w:cs="Arial"/>
          <w:i/>
          <w:iCs/>
          <w:color w:val="241F20"/>
          <w:lang/>
        </w:rPr>
        <w:t> International Business. </w:t>
      </w:r>
      <w:r w:rsidRPr="00B36BDF">
        <w:rPr>
          <w:rFonts w:ascii="Arial" w:eastAsia="Times New Roman" w:hAnsi="Arial" w:cs="Arial"/>
          <w:color w:val="241F20"/>
          <w:lang/>
        </w:rPr>
        <w:t xml:space="preserve">Cengage Learning EMEA; </w:t>
      </w:r>
    </w:p>
    <w:p w:rsidR="00B13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241F20"/>
          <w:lang/>
        </w:rPr>
      </w:pPr>
      <w:r w:rsidRPr="00B36BDF">
        <w:rPr>
          <w:rFonts w:ascii="Arial" w:eastAsia="Times New Roman" w:hAnsi="Arial" w:cs="Arial"/>
          <w:color w:val="241F20"/>
          <w:lang/>
        </w:rPr>
        <w:lastRenderedPageBreak/>
        <w:t>Willcocks, L. (2013). </w:t>
      </w:r>
      <w:r w:rsidRPr="00B36BDF">
        <w:rPr>
          <w:rFonts w:ascii="Arial" w:eastAsia="Times New Roman" w:hAnsi="Arial" w:cs="Arial"/>
          <w:i/>
          <w:iCs/>
          <w:color w:val="241F20"/>
          <w:lang/>
        </w:rPr>
        <w:t>Global Business Management Foundations</w:t>
      </w:r>
      <w:r w:rsidRPr="00B36BDF">
        <w:rPr>
          <w:rFonts w:ascii="Arial" w:eastAsia="Times New Roman" w:hAnsi="Arial" w:cs="Arial"/>
          <w:color w:val="241F20"/>
          <w:lang/>
        </w:rPr>
        <w:t>. Brookes Publishing.</w:t>
      </w: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241F20"/>
          <w:lang/>
        </w:rPr>
      </w:pP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7463EF" w:rsidRPr="00B36BDF" w:rsidRDefault="00B133EF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Core management concepts </w:t>
      </w:r>
    </w:p>
    <w:p w:rsidR="00746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746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Willman, P. </w:t>
      </w:r>
      <w:r w:rsidRPr="00B36BDF">
        <w:rPr>
          <w:rFonts w:ascii="Arial" w:eastAsia="Calibri" w:hAnsi="Arial" w:cs="Arial"/>
          <w:i/>
          <w:lang w:bidi="en-US"/>
        </w:rPr>
        <w:t xml:space="preserve">Understanding management: social science foundations. </w:t>
      </w:r>
      <w:r w:rsidRPr="00B36BDF">
        <w:rPr>
          <w:rFonts w:ascii="Arial" w:eastAsia="Calibri" w:hAnsi="Arial" w:cs="Arial"/>
          <w:lang w:bidi="en-US"/>
        </w:rPr>
        <w:t xml:space="preserve">(Oxford: Oxford University Press, 2014); </w:t>
      </w:r>
    </w:p>
    <w:p w:rsidR="00B133EF" w:rsidRPr="00B36BDF" w:rsidRDefault="00B133E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Kaplan, R. and A. Atkinson. </w:t>
      </w:r>
      <w:r w:rsidRPr="00B36BDF">
        <w:rPr>
          <w:rFonts w:ascii="Arial" w:eastAsia="Calibri" w:hAnsi="Arial" w:cs="Arial"/>
          <w:i/>
          <w:lang w:bidi="en-US"/>
        </w:rPr>
        <w:t xml:space="preserve">Advanced management accounting. </w:t>
      </w:r>
      <w:r w:rsidRPr="00B36BDF">
        <w:rPr>
          <w:rFonts w:ascii="Arial" w:eastAsia="Calibri" w:hAnsi="Arial" w:cs="Arial"/>
          <w:lang w:bidi="en-US"/>
        </w:rPr>
        <w:t>(Harlow: Pearson Education, 1998) third edition</w:t>
      </w:r>
    </w:p>
    <w:p w:rsidR="009007BF" w:rsidRPr="00B36BDF" w:rsidRDefault="009007BF" w:rsidP="00746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</w:p>
    <w:p w:rsidR="00D57F92" w:rsidRPr="00B36BDF" w:rsidRDefault="00D57F92" w:rsidP="00D57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Studenti biraju četiti od pet</w:t>
      </w:r>
      <w:r w:rsidR="009007BF" w:rsidRPr="00B36BDF">
        <w:rPr>
          <w:rFonts w:ascii="Arial" w:hAnsi="Arial" w:cs="Arial"/>
          <w:lang/>
        </w:rPr>
        <w:t xml:space="preserve"> ponuđenih izbornih</w:t>
      </w:r>
      <w:r w:rsidRPr="00B36BDF">
        <w:rPr>
          <w:rFonts w:ascii="Arial" w:hAnsi="Arial" w:cs="Arial"/>
          <w:lang/>
        </w:rPr>
        <w:t xml:space="preserve"> predmeta:</w:t>
      </w:r>
    </w:p>
    <w:p w:rsidR="00D57F92" w:rsidRPr="00B36BDF" w:rsidRDefault="00D57F92" w:rsidP="00D57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D57F92" w:rsidRPr="00B36BDF" w:rsidRDefault="001553A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Principles of corporate finance 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Literature 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Brealey, Richard A., Stewart C. Myers, and Franklin Allen. Principles of Corporate Finance. (McGraw-Hill Education); 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Pre-requisites </w:t>
      </w:r>
    </w:p>
    <w:p w:rsidR="00B133EF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  <w:r w:rsidRPr="00B36BDF">
        <w:rPr>
          <w:rFonts w:ascii="Arial" w:hAnsi="Arial" w:cs="Arial"/>
          <w:bCs/>
          <w:lang/>
        </w:rPr>
        <w:t>Mathematics 1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57F92" w:rsidRPr="00B36BDF" w:rsidRDefault="001553A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Management science methods 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Anderson, D.R., D.J. Sweeney and T.A. Williams </w:t>
      </w:r>
      <w:r w:rsidRPr="00B36BDF">
        <w:rPr>
          <w:rFonts w:ascii="Arial" w:hAnsi="Arial" w:cs="Arial"/>
          <w:i/>
          <w:lang/>
        </w:rPr>
        <w:t>An Introduction to Management Science: Quantitative Approaches to Decision Making</w:t>
      </w:r>
      <w:r w:rsidRPr="00B36BDF">
        <w:rPr>
          <w:rFonts w:ascii="Arial" w:hAnsi="Arial" w:cs="Arial"/>
          <w:lang/>
        </w:rPr>
        <w:t xml:space="preserve">. (South-Western Publishing); </w:t>
      </w:r>
    </w:p>
    <w:p w:rsidR="001553AD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Rosenhead, J. and J. Mingers (eds) </w:t>
      </w:r>
      <w:r w:rsidRPr="00B36BDF">
        <w:rPr>
          <w:rFonts w:ascii="Arial" w:hAnsi="Arial" w:cs="Arial"/>
          <w:i/>
          <w:lang/>
        </w:rPr>
        <w:t>Rational Analysis for a Problematic World Revisited: Problem Structuring Methods for Complexity, Uncertainty and Conflict</w:t>
      </w:r>
      <w:r w:rsidRPr="00B36BDF">
        <w:rPr>
          <w:rFonts w:ascii="Arial" w:hAnsi="Arial" w:cs="Arial"/>
          <w:lang/>
        </w:rPr>
        <w:t>. (Chichester: John Wiley)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Pre-requisites 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lang/>
        </w:rPr>
      </w:pPr>
      <w:r w:rsidRPr="00B36BDF">
        <w:rPr>
          <w:rFonts w:ascii="Arial" w:hAnsi="Arial" w:cs="Arial"/>
          <w:color w:val="000000" w:themeColor="text1"/>
          <w:lang/>
        </w:rPr>
        <w:t xml:space="preserve">Statistics 1 and Mathematics 1 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57F92" w:rsidRPr="00B36BDF" w:rsidRDefault="001553A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Strategy 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Cabral, Luis M.B. </w:t>
      </w:r>
      <w:r w:rsidRPr="00B36BDF">
        <w:rPr>
          <w:rFonts w:ascii="Arial" w:eastAsia="Calibri" w:hAnsi="Arial" w:cs="Arial"/>
          <w:i/>
          <w:lang w:bidi="en-US"/>
        </w:rPr>
        <w:t xml:space="preserve">Introduction to Industrial Organization. </w:t>
      </w:r>
      <w:r w:rsidRPr="00B36BDF">
        <w:rPr>
          <w:rFonts w:ascii="Arial" w:eastAsia="Calibri" w:hAnsi="Arial" w:cs="Arial"/>
          <w:lang w:bidi="en-US"/>
        </w:rPr>
        <w:t xml:space="preserve">(MIT Press) </w:t>
      </w:r>
    </w:p>
    <w:p w:rsidR="00D57F92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b/>
          <w:i/>
          <w:lang w:bidi="en-US"/>
        </w:rPr>
        <w:t xml:space="preserve">Either </w:t>
      </w:r>
      <w:r w:rsidRPr="00B36BDF">
        <w:rPr>
          <w:rFonts w:ascii="Arial" w:eastAsia="Calibri" w:hAnsi="Arial" w:cs="Arial"/>
          <w:lang w:bidi="en-US"/>
        </w:rPr>
        <w:t xml:space="preserve">Besanko, D., D. Dranove, M. Shanley and S. Shaefer </w:t>
      </w:r>
      <w:r w:rsidRPr="00B36BDF">
        <w:rPr>
          <w:rFonts w:ascii="Arial" w:eastAsia="Calibri" w:hAnsi="Arial" w:cs="Arial"/>
          <w:i/>
          <w:lang w:bidi="en-US"/>
        </w:rPr>
        <w:t>Economics of Strategy</w:t>
      </w:r>
      <w:r w:rsidRPr="00B36BDF">
        <w:rPr>
          <w:rFonts w:ascii="Arial" w:eastAsia="Calibri" w:hAnsi="Arial" w:cs="Arial"/>
          <w:lang w:bidi="en-US"/>
        </w:rPr>
        <w:t xml:space="preserve">. (Wiley) </w:t>
      </w:r>
    </w:p>
    <w:p w:rsidR="001553AD" w:rsidRPr="00B36BDF" w:rsidRDefault="001553AD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b/>
          <w:i/>
          <w:lang w:bidi="en-US"/>
        </w:rPr>
        <w:t xml:space="preserve">Or  </w:t>
      </w:r>
      <w:r w:rsidRPr="00B36BDF">
        <w:rPr>
          <w:rFonts w:ascii="Arial" w:eastAsia="Calibri" w:hAnsi="Arial" w:cs="Arial"/>
          <w:lang w:bidi="en-US"/>
        </w:rPr>
        <w:t xml:space="preserve">Saloner, G., A. Shepard and J. Podolny. </w:t>
      </w:r>
      <w:r w:rsidRPr="00B36BDF">
        <w:rPr>
          <w:rFonts w:ascii="Arial" w:eastAsia="Calibri" w:hAnsi="Arial" w:cs="Arial"/>
          <w:i/>
          <w:lang w:bidi="en-US"/>
        </w:rPr>
        <w:t xml:space="preserve">Strategic Management. </w:t>
      </w:r>
      <w:r w:rsidRPr="00B36BDF">
        <w:rPr>
          <w:rFonts w:ascii="Arial" w:eastAsia="Calibri" w:hAnsi="Arial" w:cs="Arial"/>
          <w:lang w:bidi="en-US"/>
        </w:rPr>
        <w:t xml:space="preserve">(Wiley) Shapiro, C. and H. Varian </w:t>
      </w:r>
      <w:r w:rsidRPr="00B36BDF">
        <w:rPr>
          <w:rFonts w:ascii="Arial" w:eastAsia="Calibri" w:hAnsi="Arial" w:cs="Arial"/>
          <w:i/>
          <w:lang w:bidi="en-US"/>
        </w:rPr>
        <w:t>Information Rules.</w:t>
      </w:r>
      <w:r w:rsidRPr="00B36BDF">
        <w:rPr>
          <w:rFonts w:ascii="Arial" w:eastAsia="Calibri" w:hAnsi="Arial" w:cs="Arial"/>
          <w:lang w:bidi="en-US"/>
        </w:rPr>
        <w:t>(HBS Press)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Pre-requisites </w:t>
      </w:r>
    </w:p>
    <w:p w:rsidR="00D57F92" w:rsidRPr="00113A17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  <w:r w:rsidRPr="00113A17">
        <w:rPr>
          <w:rFonts w:ascii="Arial" w:eastAsia="Calibri" w:hAnsi="Arial" w:cs="Arial"/>
          <w:lang w:bidi="en-US"/>
        </w:rPr>
        <w:t>Introduction to economics and Mathematics 1</w:t>
      </w:r>
    </w:p>
    <w:p w:rsidR="00D57F92" w:rsidRPr="00B36BDF" w:rsidRDefault="00D57F92" w:rsidP="00D57F9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3B6BA7" w:rsidRPr="00B36BDF" w:rsidRDefault="001553A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Organisation theory – and interdisciplinary approach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Literature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Buchanan, D. and A. Huczynski </w:t>
      </w:r>
      <w:r w:rsidRPr="00B36BDF">
        <w:rPr>
          <w:rFonts w:ascii="Arial" w:hAnsi="Arial" w:cs="Arial"/>
          <w:i/>
          <w:lang/>
        </w:rPr>
        <w:t xml:space="preserve">Organizational behaviour: an introductory text. </w:t>
      </w:r>
      <w:r w:rsidRPr="00B36BDF">
        <w:rPr>
          <w:rFonts w:ascii="Arial" w:hAnsi="Arial" w:cs="Arial"/>
          <w:lang/>
        </w:rPr>
        <w:t xml:space="preserve">(London: Prentice Hall); </w:t>
      </w:r>
    </w:p>
    <w:p w:rsidR="001553AD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Douma, S. and H. Schreuder </w:t>
      </w:r>
      <w:r w:rsidRPr="00B36BDF">
        <w:rPr>
          <w:rFonts w:ascii="Arial" w:hAnsi="Arial" w:cs="Arial"/>
          <w:i/>
          <w:lang/>
        </w:rPr>
        <w:t>Economic approaches to organisations</w:t>
      </w:r>
      <w:r w:rsidRPr="00B36BDF">
        <w:rPr>
          <w:rFonts w:ascii="Arial" w:hAnsi="Arial" w:cs="Arial"/>
          <w:lang/>
        </w:rPr>
        <w:t>. (London: Prentice Hall)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Pre-requisites </w:t>
      </w:r>
    </w:p>
    <w:p w:rsidR="003B6BA7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113A17">
        <w:rPr>
          <w:rFonts w:ascii="Arial" w:eastAsia="Calibri" w:hAnsi="Arial" w:cs="Arial"/>
          <w:lang w:bidi="en-US"/>
        </w:rPr>
        <w:t>Business and management in a global context</w:t>
      </w:r>
    </w:p>
    <w:p w:rsidR="00113A17" w:rsidRDefault="00113A1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3B6BA7" w:rsidRPr="00B36BDF" w:rsidRDefault="001553A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Principles of marketing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Dibb, S. and L. Simkin ‘Implementation problems in industrial market segmentation’, </w:t>
      </w:r>
      <w:r w:rsidRPr="00B36BDF">
        <w:rPr>
          <w:rFonts w:ascii="Arial" w:hAnsi="Arial" w:cs="Arial"/>
          <w:i/>
          <w:lang/>
        </w:rPr>
        <w:t xml:space="preserve">Industrial Marketing Management </w:t>
      </w:r>
      <w:r w:rsidRPr="00B36BDF">
        <w:rPr>
          <w:rFonts w:ascii="Arial" w:hAnsi="Arial" w:cs="Arial"/>
          <w:lang/>
        </w:rPr>
        <w:t xml:space="preserve">23(1) 1994, pp.55–63.;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Gaski, J.F. ‘The theory of power and conflict in channels of distribution’, </w:t>
      </w:r>
      <w:r w:rsidRPr="00B36BDF">
        <w:rPr>
          <w:rFonts w:ascii="Arial" w:hAnsi="Arial" w:cs="Arial"/>
          <w:i/>
          <w:lang/>
        </w:rPr>
        <w:t xml:space="preserve">Journal of Marketing </w:t>
      </w:r>
      <w:r w:rsidRPr="00B36BDF">
        <w:rPr>
          <w:rFonts w:ascii="Arial" w:hAnsi="Arial" w:cs="Arial"/>
          <w:lang/>
        </w:rPr>
        <w:t xml:space="preserve">48(3) 1984, pp.9–29.;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Kotler, P. and G. Armstrong </w:t>
      </w:r>
      <w:r w:rsidRPr="00B36BDF">
        <w:rPr>
          <w:rFonts w:ascii="Arial" w:hAnsi="Arial" w:cs="Arial"/>
          <w:i/>
          <w:lang/>
        </w:rPr>
        <w:t>Principles of marketing</w:t>
      </w:r>
      <w:r w:rsidRPr="00B36BDF">
        <w:rPr>
          <w:rFonts w:ascii="Arial" w:hAnsi="Arial" w:cs="Arial"/>
          <w:lang/>
        </w:rPr>
        <w:t xml:space="preserve">. (Upper Saddle River, NJ: Pearson, Prentice Hall, 2012) fourteenth international edition;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Mitchell, V-W. ‘Buy-phase and buy-class effects on organisational risk perception and reduction in purchasing professional services’, </w:t>
      </w:r>
      <w:r w:rsidRPr="00B36BDF">
        <w:rPr>
          <w:rFonts w:ascii="Arial" w:hAnsi="Arial" w:cs="Arial"/>
          <w:i/>
          <w:lang/>
        </w:rPr>
        <w:t xml:space="preserve">Journal of Business and Industrial Marketing </w:t>
      </w:r>
      <w:r w:rsidRPr="00B36BDF">
        <w:rPr>
          <w:rFonts w:ascii="Arial" w:hAnsi="Arial" w:cs="Arial"/>
          <w:lang/>
        </w:rPr>
        <w:t xml:space="preserve">13(6) 1998, pp.461–78.;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Ring, P.S. and A.H. Van de Ven ‘Structuring cooperative relationships between organisations’, </w:t>
      </w:r>
      <w:r w:rsidRPr="00B36BDF">
        <w:rPr>
          <w:rFonts w:ascii="Arial" w:hAnsi="Arial" w:cs="Arial"/>
          <w:i/>
          <w:lang/>
        </w:rPr>
        <w:t xml:space="preserve">Strategic Management Journal </w:t>
      </w:r>
      <w:r w:rsidRPr="00B36BDF">
        <w:rPr>
          <w:rFonts w:ascii="Arial" w:hAnsi="Arial" w:cs="Arial"/>
          <w:lang/>
        </w:rPr>
        <w:t xml:space="preserve">13(6) 1992, pp.483–98.; </w:t>
      </w:r>
    </w:p>
    <w:p w:rsidR="001553AD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Wilson, D.F. ‘Why divide consumer and organisational buyer behaviour?’, </w:t>
      </w:r>
      <w:r w:rsidRPr="00B36BDF">
        <w:rPr>
          <w:rFonts w:ascii="Arial" w:eastAsia="Calibri" w:hAnsi="Arial" w:cs="Arial"/>
          <w:i/>
          <w:lang w:bidi="en-US"/>
        </w:rPr>
        <w:t xml:space="preserve">European Journal of Marketing </w:t>
      </w:r>
      <w:r w:rsidRPr="00B36BDF">
        <w:rPr>
          <w:rFonts w:ascii="Arial" w:eastAsia="Calibri" w:hAnsi="Arial" w:cs="Arial"/>
          <w:lang w:bidi="en-US"/>
        </w:rPr>
        <w:t>34(7) 2000, pp.780–96.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Pre-requisites</w:t>
      </w:r>
    </w:p>
    <w:p w:rsidR="003B6BA7" w:rsidRPr="00113A17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  <w:r w:rsidRPr="00113A17">
        <w:rPr>
          <w:rFonts w:ascii="Arial" w:eastAsia="Calibri" w:hAnsi="Arial" w:cs="Arial"/>
          <w:lang w:bidi="en-US"/>
        </w:rPr>
        <w:t>Business and management in a global context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</w:p>
    <w:p w:rsidR="003B6BA7" w:rsidRPr="00B36BDF" w:rsidRDefault="003B6BA7" w:rsidP="003B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3B6BA7" w:rsidRPr="00B36BDF" w:rsidRDefault="003B6BA7" w:rsidP="003B6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Studenti biraju jedan od dva ponuđena izborna predmeta: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3B6BA7" w:rsidRPr="00B36BDF" w:rsidRDefault="001553AD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Management accounting </w:t>
      </w:r>
    </w:p>
    <w:p w:rsidR="003B6BA7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1553AD" w:rsidRPr="00B36BDF" w:rsidRDefault="001553AD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Bhimani, A. et al. </w:t>
      </w:r>
      <w:r w:rsidRPr="00B36BDF">
        <w:rPr>
          <w:rFonts w:ascii="Arial" w:hAnsi="Arial" w:cs="Arial"/>
          <w:i/>
          <w:lang/>
        </w:rPr>
        <w:t>Management and cost accounting</w:t>
      </w:r>
      <w:r w:rsidRPr="00B36BDF">
        <w:rPr>
          <w:rFonts w:ascii="Arial" w:hAnsi="Arial" w:cs="Arial"/>
          <w:lang/>
        </w:rPr>
        <w:t>. (Pearson, 2019) 7th edition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Pre-requisites</w:t>
      </w:r>
    </w:p>
    <w:p w:rsidR="003B6BA7" w:rsidRPr="00113A17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113A17">
        <w:rPr>
          <w:rFonts w:ascii="Arial" w:hAnsi="Arial" w:cs="Arial"/>
          <w:lang/>
        </w:rPr>
        <w:t>Principles of accounting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</w:p>
    <w:p w:rsidR="003B6BA7" w:rsidRPr="00B36BDF" w:rsidRDefault="00054EE1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Information systems management </w:t>
      </w:r>
    </w:p>
    <w:p w:rsidR="003B6BA7" w:rsidRPr="00B36BDF" w:rsidRDefault="00054EE1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 xml:space="preserve">Literature </w:t>
      </w:r>
    </w:p>
    <w:p w:rsidR="00054EE1" w:rsidRPr="00B36BDF" w:rsidRDefault="00054EE1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Reynolds, W. </w:t>
      </w:r>
      <w:r w:rsidRPr="00B36BDF">
        <w:rPr>
          <w:rFonts w:ascii="Arial" w:hAnsi="Arial" w:cs="Arial"/>
          <w:i/>
          <w:lang/>
        </w:rPr>
        <w:t xml:space="preserve">Information systems for Managers </w:t>
      </w:r>
      <w:r w:rsidRPr="00B36BDF">
        <w:rPr>
          <w:rFonts w:ascii="Arial" w:hAnsi="Arial" w:cs="Arial"/>
          <w:lang/>
        </w:rPr>
        <w:t>(Cengage, 2015) 2nd edition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</w:p>
    <w:p w:rsidR="00D158DD" w:rsidRPr="00B36BDF" w:rsidRDefault="00D158DD" w:rsidP="00D15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D158DD" w:rsidRPr="00B36BDF" w:rsidRDefault="00D158DD" w:rsidP="00D15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Studenti biraju jedan od dva ponuđena izborna predmeta:</w:t>
      </w: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3B6BA7" w:rsidRPr="00B36BDF" w:rsidRDefault="003B6BA7" w:rsidP="003B6B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054EE1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Statistical methods for market research </w:t>
      </w:r>
    </w:p>
    <w:p w:rsidR="00D158DD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  <w:r w:rsidRPr="00B36BDF">
        <w:rPr>
          <w:rFonts w:ascii="Arial" w:hAnsi="Arial" w:cs="Arial"/>
          <w:bCs/>
          <w:lang/>
        </w:rPr>
        <w:t>Literature</w:t>
      </w:r>
    </w:p>
    <w:p w:rsidR="00D158DD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Malhotra, N.K., D. Nunan and D.F. Birks </w:t>
      </w:r>
      <w:r w:rsidRPr="00B36BDF">
        <w:rPr>
          <w:rFonts w:ascii="Arial" w:hAnsi="Arial" w:cs="Arial"/>
          <w:i/>
          <w:lang/>
        </w:rPr>
        <w:t>Marketing Research</w:t>
      </w:r>
      <w:r w:rsidRPr="00B36BDF">
        <w:rPr>
          <w:rFonts w:ascii="Arial" w:hAnsi="Arial" w:cs="Arial"/>
          <w:lang/>
        </w:rPr>
        <w:t xml:space="preserve">, Pearson, fifth edition (2017); </w:t>
      </w:r>
    </w:p>
    <w:p w:rsidR="00054EE1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Field, A. </w:t>
      </w:r>
      <w:r w:rsidRPr="00B36BDF">
        <w:rPr>
          <w:rFonts w:ascii="Arial" w:hAnsi="Arial" w:cs="Arial"/>
          <w:i/>
          <w:lang/>
        </w:rPr>
        <w:t>Discovering Statistics using IBM SPSS Statistics</w:t>
      </w:r>
      <w:r w:rsidRPr="00B36BDF">
        <w:rPr>
          <w:rFonts w:ascii="Arial" w:hAnsi="Arial" w:cs="Arial"/>
          <w:lang/>
        </w:rPr>
        <w:t>, Sage, fifth edition (2017)</w:t>
      </w:r>
      <w:r w:rsidR="00D158DD" w:rsidRPr="00B36BDF">
        <w:rPr>
          <w:rFonts w:ascii="Arial" w:hAnsi="Arial" w:cs="Arial"/>
          <w:lang/>
        </w:rPr>
        <w:t>;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Pre-requisites</w:t>
      </w:r>
    </w:p>
    <w:p w:rsidR="00D158DD" w:rsidRPr="00113A17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113A17">
        <w:rPr>
          <w:rFonts w:ascii="Arial" w:hAnsi="Arial" w:cs="Arial"/>
          <w:lang/>
        </w:rPr>
        <w:t>Statistics 1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</w:p>
    <w:p w:rsidR="00D158DD" w:rsidRPr="00B36BDF" w:rsidRDefault="00054EE1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Management and innovation of e-business </w:t>
      </w:r>
    </w:p>
    <w:p w:rsidR="00D158DD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054EE1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Chaffey, D. </w:t>
      </w:r>
      <w:r w:rsidRPr="00B36BDF">
        <w:rPr>
          <w:rFonts w:ascii="Arial" w:eastAsia="Calibri" w:hAnsi="Arial" w:cs="Arial"/>
          <w:i/>
          <w:lang w:bidi="en-US"/>
        </w:rPr>
        <w:t xml:space="preserve">Digital business and e-commerce management. </w:t>
      </w:r>
      <w:r w:rsidRPr="00B36BDF">
        <w:rPr>
          <w:rFonts w:ascii="Arial" w:eastAsia="Calibri" w:hAnsi="Arial" w:cs="Arial"/>
          <w:lang w:bidi="en-US"/>
        </w:rPr>
        <w:t>(Harlow: Pearson Education, 2015) sixth edition;</w:t>
      </w:r>
    </w:p>
    <w:p w:rsidR="00D158DD" w:rsidRPr="00B36BDF" w:rsidRDefault="00D158DD" w:rsidP="00D158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D158DD" w:rsidP="00D158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D158DD" w:rsidP="00D15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Studenti biraju jedan od pet ponuđenih izbornih predmeta:</w:t>
      </w:r>
    </w:p>
    <w:p w:rsidR="00D158DD" w:rsidRPr="00B36BDF" w:rsidRDefault="00D158DD" w:rsidP="00D158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054EE1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Introduction to international development </w:t>
      </w:r>
    </w:p>
    <w:p w:rsidR="00D158DD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D158DD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Desai, V. and Potter, R. (eds) </w:t>
      </w:r>
      <w:r w:rsidRPr="00B36BDF">
        <w:rPr>
          <w:rFonts w:ascii="Arial" w:eastAsia="Calibri" w:hAnsi="Arial" w:cs="Arial"/>
          <w:i/>
          <w:lang w:bidi="en-US"/>
        </w:rPr>
        <w:t>The Companion to Development Studies</w:t>
      </w:r>
      <w:r w:rsidRPr="00B36BDF">
        <w:rPr>
          <w:rFonts w:ascii="Arial" w:eastAsia="Calibri" w:hAnsi="Arial" w:cs="Arial"/>
          <w:lang w:bidi="en-US"/>
        </w:rPr>
        <w:t xml:space="preserve">. (London: Hodder); </w:t>
      </w:r>
    </w:p>
    <w:p w:rsidR="00054EE1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bidi="en-US"/>
        </w:rPr>
      </w:pPr>
      <w:r w:rsidRPr="00B36BDF">
        <w:rPr>
          <w:rFonts w:ascii="Arial" w:eastAsia="Calibri" w:hAnsi="Arial" w:cs="Arial"/>
          <w:lang w:bidi="en-US"/>
        </w:rPr>
        <w:t xml:space="preserve">Todaro, M. and S. Smith </w:t>
      </w:r>
      <w:r w:rsidRPr="00B36BDF">
        <w:rPr>
          <w:rFonts w:ascii="Arial" w:eastAsia="Calibri" w:hAnsi="Arial" w:cs="Arial"/>
          <w:i/>
          <w:lang w:bidi="en-US"/>
        </w:rPr>
        <w:t>Economic Development</w:t>
      </w:r>
      <w:r w:rsidRPr="00B36BDF">
        <w:rPr>
          <w:rFonts w:ascii="Arial" w:eastAsia="Calibri" w:hAnsi="Arial" w:cs="Arial"/>
          <w:lang w:bidi="en-US"/>
        </w:rPr>
        <w:t>. (Harlow: Pearson Education);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054EE1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Elements of econometrics </w:t>
      </w:r>
    </w:p>
    <w:p w:rsidR="00D158DD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054EE1" w:rsidRPr="00B36BDF" w:rsidRDefault="00054EE1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Dougherty, C. </w:t>
      </w:r>
      <w:r w:rsidRPr="00B36BDF">
        <w:rPr>
          <w:rFonts w:ascii="Arial" w:hAnsi="Arial" w:cs="Arial"/>
          <w:i/>
          <w:lang/>
        </w:rPr>
        <w:t>Introduction to Econometrics</w:t>
      </w:r>
      <w:r w:rsidRPr="00B36BDF">
        <w:rPr>
          <w:rFonts w:ascii="Arial" w:hAnsi="Arial" w:cs="Arial"/>
          <w:lang/>
        </w:rPr>
        <w:t xml:space="preserve">. (Oxford: Oxford University Press); 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Pre-requisites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Mathematics 1 and 2 and Statistics 1 and 2 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E23C37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Microeconomics </w:t>
      </w:r>
    </w:p>
    <w:p w:rsidR="00D158DD" w:rsidRPr="00B36BDF" w:rsidRDefault="00E23C37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E23C37" w:rsidRPr="00B36BDF" w:rsidRDefault="00E23C37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Nicholson and Snyder, </w:t>
      </w:r>
      <w:r w:rsidRPr="00B36BDF">
        <w:rPr>
          <w:rFonts w:ascii="Arial" w:hAnsi="Arial" w:cs="Arial"/>
          <w:i/>
          <w:lang/>
        </w:rPr>
        <w:t>Intermediate Microeconomics and its Application</w:t>
      </w:r>
      <w:r w:rsidRPr="00B36BDF">
        <w:rPr>
          <w:rFonts w:ascii="Arial" w:hAnsi="Arial" w:cs="Arial"/>
          <w:lang/>
        </w:rPr>
        <w:t>, 12</w:t>
      </w:r>
      <w:r w:rsidRPr="00B36BDF">
        <w:rPr>
          <w:rFonts w:ascii="Arial" w:hAnsi="Arial" w:cs="Arial"/>
          <w:vertAlign w:val="superscript"/>
          <w:lang/>
        </w:rPr>
        <w:t>th</w:t>
      </w:r>
      <w:r w:rsidRPr="00B36BDF">
        <w:rPr>
          <w:rFonts w:ascii="Arial" w:hAnsi="Arial" w:cs="Arial"/>
          <w:lang/>
        </w:rPr>
        <w:t xml:space="preserve"> ed 2015, Cengage Learning 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Pre-requisites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Mathematics </w:t>
      </w:r>
      <w:r w:rsidRPr="00B36BDF">
        <w:rPr>
          <w:rFonts w:ascii="Arial" w:hAnsi="Arial" w:cs="Arial"/>
          <w:bCs/>
          <w:lang/>
        </w:rPr>
        <w:t xml:space="preserve">1 and Introduction to Economics 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E23C37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>Macroeconomics</w:t>
      </w:r>
    </w:p>
    <w:p w:rsidR="00D158DD" w:rsidRPr="00B36BDF" w:rsidRDefault="00E23C37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Literature</w:t>
      </w:r>
    </w:p>
    <w:p w:rsidR="00D158DD" w:rsidRPr="00B36BDF" w:rsidRDefault="00E23C37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Blanchard, O. </w:t>
      </w:r>
      <w:r w:rsidRPr="00B36BDF">
        <w:rPr>
          <w:rFonts w:ascii="Arial" w:hAnsi="Arial" w:cs="Arial"/>
          <w:i/>
          <w:lang/>
        </w:rPr>
        <w:t>Macroeconomics</w:t>
      </w:r>
      <w:r w:rsidRPr="00B36BDF">
        <w:rPr>
          <w:rFonts w:ascii="Arial" w:hAnsi="Arial" w:cs="Arial"/>
          <w:lang/>
        </w:rPr>
        <w:t xml:space="preserve">. (Prentice Hall); </w:t>
      </w:r>
    </w:p>
    <w:p w:rsidR="00E23C37" w:rsidRPr="00B36BDF" w:rsidRDefault="00E23C37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Dornbusch, R., S. Fischer and R. Startz </w:t>
      </w:r>
      <w:r w:rsidRPr="00B36BDF">
        <w:rPr>
          <w:rFonts w:ascii="Arial" w:hAnsi="Arial" w:cs="Arial"/>
          <w:i/>
          <w:lang/>
        </w:rPr>
        <w:t>Macroeconomics</w:t>
      </w:r>
      <w:r w:rsidRPr="00B36BDF">
        <w:rPr>
          <w:rFonts w:ascii="Arial" w:hAnsi="Arial" w:cs="Arial"/>
          <w:lang/>
        </w:rPr>
        <w:t xml:space="preserve">. (McGraw-Hill); Mankiw, N.G. </w:t>
      </w:r>
      <w:r w:rsidRPr="00B36BDF">
        <w:rPr>
          <w:rFonts w:ascii="Arial" w:hAnsi="Arial" w:cs="Arial"/>
          <w:i/>
          <w:lang/>
        </w:rPr>
        <w:t>Macroeconomics</w:t>
      </w:r>
      <w:r w:rsidRPr="00B36BDF">
        <w:rPr>
          <w:rFonts w:ascii="Arial" w:hAnsi="Arial" w:cs="Arial"/>
          <w:lang/>
        </w:rPr>
        <w:t>. (Worth);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/>
          <w:lang/>
        </w:rPr>
      </w:pPr>
      <w:r w:rsidRPr="00B36BDF">
        <w:rPr>
          <w:rFonts w:ascii="Arial" w:hAnsi="Arial" w:cs="Arial"/>
          <w:bCs/>
          <w:i/>
          <w:lang/>
        </w:rPr>
        <w:t>Pre-requisites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bCs/>
          <w:lang/>
        </w:rPr>
        <w:t xml:space="preserve">Mathematics </w:t>
      </w:r>
      <w:r w:rsidRPr="00B36BDF">
        <w:rPr>
          <w:rFonts w:ascii="Arial" w:hAnsi="Arial" w:cs="Arial"/>
          <w:lang/>
        </w:rPr>
        <w:t>1 and Introduction to Economics</w:t>
      </w:r>
    </w:p>
    <w:p w:rsidR="00D158DD" w:rsidRPr="00B36BDF" w:rsidRDefault="00D158DD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lang/>
        </w:rPr>
      </w:pPr>
    </w:p>
    <w:p w:rsidR="00D158DD" w:rsidRPr="00B36BDF" w:rsidRDefault="000C731E" w:rsidP="00E23C37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/>
        </w:rPr>
      </w:pPr>
      <w:r w:rsidRPr="00B36BDF">
        <w:rPr>
          <w:rFonts w:ascii="Arial" w:hAnsi="Arial" w:cs="Arial"/>
          <w:b/>
          <w:bCs/>
          <w:lang/>
        </w:rPr>
        <w:t xml:space="preserve">Principles of banking and finance </w:t>
      </w:r>
    </w:p>
    <w:p w:rsidR="00D158DD" w:rsidRPr="00B36BDF" w:rsidRDefault="000C731E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lang/>
        </w:rPr>
      </w:pPr>
      <w:r w:rsidRPr="00B36BDF">
        <w:rPr>
          <w:rFonts w:ascii="Arial" w:hAnsi="Arial" w:cs="Arial"/>
          <w:i/>
          <w:iCs/>
          <w:lang/>
        </w:rPr>
        <w:t xml:space="preserve">Literature </w:t>
      </w:r>
    </w:p>
    <w:p w:rsidR="00D158DD" w:rsidRPr="00B36BDF" w:rsidRDefault="000C731E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Mishkin, F. and S. Eakins </w:t>
      </w:r>
      <w:r w:rsidRPr="00B36BDF">
        <w:rPr>
          <w:rFonts w:ascii="Arial" w:hAnsi="Arial" w:cs="Arial"/>
          <w:i/>
          <w:lang/>
        </w:rPr>
        <w:t>Financial Markets and Institutions</w:t>
      </w:r>
      <w:r w:rsidRPr="00B36BDF">
        <w:rPr>
          <w:rFonts w:ascii="Arial" w:hAnsi="Arial" w:cs="Arial"/>
          <w:lang/>
        </w:rPr>
        <w:t xml:space="preserve">. (Addison Wesley) </w:t>
      </w:r>
    </w:p>
    <w:p w:rsidR="00D158DD" w:rsidRPr="00B36BDF" w:rsidRDefault="000C731E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Allen, F. and D. Gale </w:t>
      </w:r>
      <w:r w:rsidRPr="00B36BDF">
        <w:rPr>
          <w:rFonts w:ascii="Arial" w:hAnsi="Arial" w:cs="Arial"/>
          <w:i/>
          <w:lang/>
        </w:rPr>
        <w:t>Comparing Financial Systems</w:t>
      </w:r>
      <w:r w:rsidRPr="00B36BDF">
        <w:rPr>
          <w:rFonts w:ascii="Arial" w:hAnsi="Arial" w:cs="Arial"/>
          <w:lang/>
        </w:rPr>
        <w:t xml:space="preserve">. (MIT Press) </w:t>
      </w:r>
    </w:p>
    <w:p w:rsidR="000C731E" w:rsidRPr="00B36BDF" w:rsidRDefault="000C731E" w:rsidP="00D158D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Brealey, R.A. and S.C. Myers </w:t>
      </w:r>
      <w:r w:rsidRPr="00B36BDF">
        <w:rPr>
          <w:rFonts w:ascii="Arial" w:hAnsi="Arial" w:cs="Arial"/>
          <w:i/>
          <w:lang/>
        </w:rPr>
        <w:t>Principles of Corporate Finance</w:t>
      </w:r>
      <w:r w:rsidRPr="00B36BDF">
        <w:rPr>
          <w:rFonts w:ascii="Arial" w:hAnsi="Arial" w:cs="Arial"/>
          <w:lang/>
        </w:rPr>
        <w:t xml:space="preserve">. (McGraw-Hill/Irwin) </w:t>
      </w:r>
    </w:p>
    <w:p w:rsidR="000C731E" w:rsidRPr="00B36BDF" w:rsidRDefault="000C731E" w:rsidP="000C73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lang/>
        </w:rPr>
      </w:pPr>
    </w:p>
    <w:p w:rsidR="00F96790" w:rsidRPr="00B36BDF" w:rsidRDefault="00E1241D" w:rsidP="00F9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Detaljni opisi predmeta mogu se naći na sajtu:</w:t>
      </w:r>
    </w:p>
    <w:p w:rsidR="00F96790" w:rsidRPr="00B36BDF" w:rsidRDefault="0008100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lang/>
        </w:rPr>
      </w:pPr>
      <w:hyperlink r:id="rId9" w:history="1">
        <w:r w:rsidR="00D158DD" w:rsidRPr="00B36BDF">
          <w:rPr>
            <w:rStyle w:val="Hyperlink"/>
            <w:rFonts w:ascii="Arial" w:hAnsi="Arial" w:cs="Arial"/>
            <w:lang/>
          </w:rPr>
          <w:t>https://london.ac.uk/business-and-management-standard-route</w:t>
        </w:r>
      </w:hyperlink>
    </w:p>
    <w:p w:rsidR="00D158DD" w:rsidRPr="00B36BDF" w:rsidRDefault="00D158D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Literatura za pripremu i polaganje ispita, za deo studija od druge do četvrte godine propisana je od strane LSE i sastoji se od vodećih međunarodnih izdanja, na engleskom jeziku, iz tema koje program pokriva.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Studentima koji upišu ovaj program biće omogućen pristup online bazi nastavnih materijala, a obavezna literatura dostupna </w:t>
      </w:r>
      <w:r w:rsidR="00113A17">
        <w:rPr>
          <w:rFonts w:ascii="Arial" w:hAnsi="Arial" w:cs="Arial"/>
          <w:lang/>
        </w:rPr>
        <w:t xml:space="preserve">je </w:t>
      </w:r>
      <w:r w:rsidRPr="00B36BDF">
        <w:rPr>
          <w:rFonts w:ascii="Arial" w:hAnsi="Arial" w:cs="Arial"/>
          <w:lang/>
        </w:rPr>
        <w:t>za iznajmljivanje u biblioteci Ekonomskog fakulteta ili za kupovinu u knjižari Ekonomskog fakulteta.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NASTAVA I ISPITI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Na prvoj godini studija nastava se r</w:t>
      </w:r>
      <w:r w:rsidR="00113A17">
        <w:rPr>
          <w:rFonts w:ascii="Arial" w:hAnsi="Arial" w:cs="Arial"/>
          <w:lang/>
        </w:rPr>
        <w:t>e</w:t>
      </w:r>
      <w:r w:rsidRPr="00B36BDF">
        <w:rPr>
          <w:rFonts w:ascii="Arial" w:hAnsi="Arial" w:cs="Arial"/>
          <w:lang/>
        </w:rPr>
        <w:t>alizuje po programu Ekonomskog fakulteta u Beogradu, na srpskom jeziku. Nastavu i ispite realizuju profesori Ekonomskog fakulteta u Beogradu.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Počev od druge godine studija (u drugoj, trećoj i četvrtoj godini) nastava se u </w:t>
      </w:r>
      <w:r w:rsidR="00113A17">
        <w:rPr>
          <w:rFonts w:ascii="Arial" w:hAnsi="Arial" w:cs="Arial"/>
          <w:lang/>
        </w:rPr>
        <w:t>potpunosti</w:t>
      </w:r>
      <w:r w:rsidRPr="00B36BDF">
        <w:rPr>
          <w:rFonts w:ascii="Arial" w:hAnsi="Arial" w:cs="Arial"/>
          <w:lang/>
        </w:rPr>
        <w:t xml:space="preserve"> izvodi na engleskom jeziku, na Ekonomskom fakultetu u Beogradu. Nastavu izvode profesori Ekonomskog fakulteta u Beogradu. Nastava u okviru ovog međunarodnog programa je dvosemestralna, počinje krajem septembra i završava se krajem aprila naredne godine.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Ispiti u okviru međunarodnog programa, od druge do četvrte godine studije, se realizuju na engleskom jeziku, u pisanoj formi. Sastavljanje i pregledanje ispita vrše profesori LSE. Ispiti se realizuju na Univerzitetu u Beogradu, uz tehničku pomoć Britanskog saveta.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lang/>
        </w:rPr>
      </w:pPr>
    </w:p>
    <w:p w:rsidR="00DE3612" w:rsidRPr="00B36BDF" w:rsidRDefault="00E1241D" w:rsidP="00DE36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Polaganje ispita u okviru ovog međunarodnog programa organizuje se jednom godišnje, u maju, a rezultati se objavljuju u avgustu. U slučaju da ne položi ispit, student </w:t>
      </w:r>
      <w:r w:rsidR="00113A17">
        <w:rPr>
          <w:rFonts w:ascii="Arial" w:hAnsi="Arial" w:cs="Arial"/>
          <w:lang/>
        </w:rPr>
        <w:t>je u obavezi da</w:t>
      </w:r>
      <w:r w:rsidRPr="00B36BDF">
        <w:rPr>
          <w:rFonts w:ascii="Arial" w:hAnsi="Arial" w:cs="Arial"/>
          <w:lang/>
        </w:rPr>
        <w:t xml:space="preserve"> ponovo odsluša </w:t>
      </w:r>
      <w:r w:rsidR="00113A17">
        <w:rPr>
          <w:rFonts w:ascii="Arial" w:hAnsi="Arial" w:cs="Arial"/>
          <w:lang/>
        </w:rPr>
        <w:t>nastavu iz odgovarajućeg predmeta</w:t>
      </w:r>
      <w:r w:rsidRPr="00B36BDF">
        <w:rPr>
          <w:rFonts w:ascii="Arial" w:hAnsi="Arial" w:cs="Arial"/>
          <w:lang/>
        </w:rPr>
        <w:t>. Student može maksimalno tri puta da polaže jedan ispit.</w:t>
      </w:r>
      <w:bookmarkStart w:id="1" w:name="page5"/>
      <w:bookmarkEnd w:id="1"/>
    </w:p>
    <w:p w:rsidR="00DE3612" w:rsidRPr="00B36BDF" w:rsidRDefault="00DE3612" w:rsidP="00DE36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lang/>
        </w:rPr>
      </w:pPr>
    </w:p>
    <w:p w:rsidR="00E1241D" w:rsidRPr="00B36BDF" w:rsidRDefault="00E1241D" w:rsidP="00DE361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USLOVI UPISA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Studenti se opredeljuju za upis ovog međunarodnog programa nakon završene prve godine osnovnih studija na Ekonomskom fakultetu u Beogradu.</w:t>
      </w:r>
      <w:r w:rsidR="007646A9" w:rsidRPr="00B36BDF">
        <w:rPr>
          <w:rFonts w:ascii="Arial" w:hAnsi="Arial" w:cs="Arial"/>
          <w:lang/>
        </w:rPr>
        <w:t xml:space="preserve"> Studenti moraju imati položen ispit iz Matemati</w:t>
      </w:r>
      <w:r w:rsidR="00CB63A2" w:rsidRPr="00B36BDF">
        <w:rPr>
          <w:rFonts w:ascii="Arial" w:hAnsi="Arial" w:cs="Arial"/>
          <w:lang/>
        </w:rPr>
        <w:t>ke i Osnova statističke analize</w:t>
      </w:r>
      <w:r w:rsidR="007379A7" w:rsidRPr="00B36BDF">
        <w:rPr>
          <w:rFonts w:ascii="Arial" w:hAnsi="Arial" w:cs="Arial"/>
          <w:lang/>
        </w:rPr>
        <w:t xml:space="preserve"> i stečen uslov za upis u II godinu domaćih studija (min. 48 ESPB)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lang/>
        </w:rPr>
      </w:pPr>
    </w:p>
    <w:p w:rsidR="00E1241D" w:rsidRPr="00B36BDF" w:rsidRDefault="007646A9" w:rsidP="00D9323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Jedan od uslova</w:t>
      </w:r>
      <w:r w:rsidR="00E1241D" w:rsidRPr="00B36BDF">
        <w:rPr>
          <w:rFonts w:ascii="Arial" w:hAnsi="Arial" w:cs="Arial"/>
          <w:lang/>
        </w:rPr>
        <w:t xml:space="preserve"> za upis na ovaj program jeprethodno položen </w:t>
      </w:r>
      <w:r w:rsidR="00D93239" w:rsidRPr="00B36BDF">
        <w:rPr>
          <w:rFonts w:ascii="Arial" w:hAnsi="Arial" w:cs="Arial"/>
          <w:lang/>
        </w:rPr>
        <w:t>ispit međunarodni test iz engleskog jezika. Sertifikati (ne stariji od tri godine) koji mogu biti priznati prilikom konkurisanja za upis su:</w:t>
      </w:r>
    </w:p>
    <w:p w:rsidR="00D93239" w:rsidRPr="00B36BDF" w:rsidRDefault="00D93239" w:rsidP="00D9323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Arial" w:hAnsi="Arial" w:cs="Arial"/>
          <w:lang/>
        </w:rPr>
      </w:pPr>
    </w:p>
    <w:p w:rsidR="004466DA" w:rsidRPr="00B36BDF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Cambridge Certificate of Proficiency in English.</w:t>
      </w:r>
    </w:p>
    <w:p w:rsidR="004466DA" w:rsidRPr="00B36BDF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Cambridge English Language 1119 conducted by the University of Cambridge Local Examinations Syndicate (grade 6).</w:t>
      </w:r>
    </w:p>
    <w:p w:rsidR="004466DA" w:rsidRPr="00B36BDF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Hong Kong Examination Authority Advanced level Use of English (grade C).</w:t>
      </w:r>
    </w:p>
    <w:p w:rsidR="004466DA" w:rsidRPr="00B36BDF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Hong Kong Certificate of Education English Language, Syllabus B (grade C).</w:t>
      </w:r>
    </w:p>
    <w:p w:rsidR="004466DA" w:rsidRPr="00B36BDF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Hong Kong Certificate of Education Examination (HKCEE) English Language section from 2007 (level 3).</w:t>
      </w:r>
    </w:p>
    <w:p w:rsidR="004466DA" w:rsidRPr="00B36BDF" w:rsidRDefault="004466DA" w:rsidP="004466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Hong Kong Diploma of Secondary Education (HKDSE): English Language (level 3).</w:t>
      </w:r>
    </w:p>
    <w:p w:rsidR="00665F1B" w:rsidRPr="00B36BDF" w:rsidRDefault="004466DA" w:rsidP="00665F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International General Certificate of Education (IGCSE): English as a Second Language (grade B).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Hong Kong, an associate degree, higher diploma or degree awarded by an acceptable university.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Hong Kong Examinations Authority AS 'Use of English' (grade E).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International General Certificate of Secondary Education (IGCSE): English as a Second Language (grade C).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Malaysia, an accredited foundation programme, diploma or degree awarded by an acceptable institute.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Malaysia, HELP Foundation programme: Advanced English module (accepted for degrees led by LSE and the International Foundation Programme).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Malaysian Certificate of Education / Sijil Pelajaran Malaysia: English Language (122 or 322) grade C (6).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PSB Academy Diploma (at least 9 months full-time or 12 months part-time in duration).</w:t>
      </w:r>
    </w:p>
    <w:p w:rsidR="004466DA" w:rsidRPr="00B36BDF" w:rsidRDefault="004466DA" w:rsidP="004466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Singapore Polytechnic: a diploma awarded by an acceptable polytechnic in Singapore.</w:t>
      </w:r>
    </w:p>
    <w:p w:rsidR="004466DA" w:rsidRPr="00B36BDF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Cambridge Certificate of Advanced English.</w:t>
      </w:r>
    </w:p>
    <w:p w:rsidR="004466DA" w:rsidRPr="00B36BDF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City &amp; Guilds International ESOL 8984 Mastery award.</w:t>
      </w:r>
    </w:p>
    <w:p w:rsidR="004466DA" w:rsidRPr="00B36BDF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lastRenderedPageBreak/>
        <w:t>(IELTS) International English Language Testing System: 6 overall, with 5.5 in each sub-test.</w:t>
      </w:r>
    </w:p>
    <w:p w:rsidR="004466DA" w:rsidRPr="00B36BDF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Pearson Test of English, Academic: 54 overall, with 54 in Reading and Writing elements.</w:t>
      </w:r>
    </w:p>
    <w:p w:rsidR="004466DA" w:rsidRPr="00B36BDF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University of Cambridge Local Examinations Syndicate (UCLES) Business English Certificate, Level 3 only (BEC 3 award).</w:t>
      </w:r>
    </w:p>
    <w:p w:rsidR="004466DA" w:rsidRPr="00B36BDF" w:rsidRDefault="004466DA" w:rsidP="004466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(TOEFL) iBT Test of English as a Foreign Language: 87 overall, with 21+ in Reading and Writing sub-tests and 19+ in Speaking and Listening sub-tests.</w:t>
      </w:r>
    </w:p>
    <w:p w:rsidR="00665F1B" w:rsidRPr="00B36BDF" w:rsidRDefault="00665F1B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</w:p>
    <w:p w:rsidR="00665F1B" w:rsidRPr="00B36BDF" w:rsidRDefault="00665F1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</w:p>
    <w:p w:rsidR="000C0CCE" w:rsidRPr="00B36BDF" w:rsidRDefault="00BE61D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Detaljan opis uslova za upis dati su i zvaničnoj stranici programa</w:t>
      </w:r>
      <w:hyperlink r:id="rId10" w:anchor="awards" w:history="1">
        <w:r w:rsidR="00665F1B" w:rsidRPr="00B36BDF">
          <w:rPr>
            <w:rStyle w:val="Hyperlink"/>
            <w:rFonts w:ascii="Arial" w:hAnsi="Arial" w:cs="Arial"/>
            <w:lang/>
          </w:rPr>
          <w:t>https://london.ac.uk/applications/how-apply/english-requirements#awards</w:t>
        </w:r>
      </w:hyperlink>
    </w:p>
    <w:p w:rsidR="000C0CCE" w:rsidRPr="00B36BDF" w:rsidRDefault="000C0CC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</w:p>
    <w:p w:rsidR="00E1241D" w:rsidRPr="00B36BDF" w:rsidRDefault="00302D1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Za studente koji ne poseduju neki od navedenih</w:t>
      </w:r>
      <w:bookmarkStart w:id="2" w:name="_GoBack"/>
      <w:bookmarkEnd w:id="2"/>
      <w:r w:rsidRPr="00B36BDF">
        <w:rPr>
          <w:rFonts w:ascii="Arial" w:hAnsi="Arial" w:cs="Arial"/>
          <w:lang/>
        </w:rPr>
        <w:t xml:space="preserve"> sertifikata </w:t>
      </w:r>
      <w:r w:rsidR="00E1241D" w:rsidRPr="00B36BDF">
        <w:rPr>
          <w:rFonts w:ascii="Arial" w:hAnsi="Arial" w:cs="Arial"/>
          <w:lang/>
        </w:rPr>
        <w:t>Ekonomski fakultet će u saradnji sa Britanskim savetom u Beogradu obezbediti podršku stud</w:t>
      </w:r>
      <w:r w:rsidR="005A6118" w:rsidRPr="00B36BDF">
        <w:rPr>
          <w:rFonts w:ascii="Arial" w:hAnsi="Arial" w:cs="Arial"/>
          <w:lang/>
        </w:rPr>
        <w:t>entima zainteresovanim za međuna</w:t>
      </w:r>
      <w:r w:rsidR="00E1241D" w:rsidRPr="00B36BDF">
        <w:rPr>
          <w:rFonts w:ascii="Arial" w:hAnsi="Arial" w:cs="Arial"/>
          <w:lang/>
        </w:rPr>
        <w:t xml:space="preserve">rodni program u pripremi za polaganje </w:t>
      </w:r>
      <w:r w:rsidR="00E1241D" w:rsidRPr="00113A17">
        <w:rPr>
          <w:rFonts w:ascii="Arial" w:hAnsi="Arial" w:cs="Arial"/>
          <w:lang/>
        </w:rPr>
        <w:t>IELTS testa.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lang/>
        </w:rPr>
      </w:pPr>
    </w:p>
    <w:p w:rsidR="00D93239" w:rsidRPr="00B36BDF" w:rsidRDefault="00D93239" w:rsidP="00D93239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IELTS (International English Language Testing System / Međunarodni sistem za testiranje znanja engleskog jezika) je najpopularniji test znanja engleskog jezika u svetu. Svake godine više od dva miliona ljudi polaže ovaj test. Test IELTS se polaže pri Britanskom savetu u Beogradu. Termini polaganja se zakazuju 1-2 puta mesečno. Prijavu za IELTS test je potrebno izvršiti pet nedelja pred željeni datum polaganja. Posle ovog roka, prijava je moguća samo ukoliko ostane slobodnih mesta. Test se sastoji iz 4 dela – slušanje, čitanje, pisanje i govor. Svaki deo se ocenjuje pojedinačno i ukupna ocena predstavlja prosek ostvarenih pojedinačnih ocena. Za upis na međunarodni program “</w:t>
      </w:r>
      <w:r w:rsidR="00113A17">
        <w:rPr>
          <w:rFonts w:ascii="Arial" w:hAnsi="Arial" w:cs="Arial"/>
          <w:i/>
          <w:lang/>
        </w:rPr>
        <w:t>Business and Management</w:t>
      </w:r>
      <w:r w:rsidRPr="00B36BDF">
        <w:rPr>
          <w:rFonts w:ascii="Arial" w:hAnsi="Arial" w:cs="Arial"/>
          <w:lang/>
        </w:rPr>
        <w:t>” potrebno je ostvariti ukupnu minimalnu ocenu 6,0 i osvojiti najmanje ocenu 5,5 na svakom pojedinačnom delu (slušanje, čitanje, pisanje i govor). Sve informacije o samom testu, načinu pripreme i prijave polaganja možete naći sa stranici</w:t>
      </w:r>
    </w:p>
    <w:p w:rsidR="00D93239" w:rsidRPr="00B36BDF" w:rsidRDefault="00D93239" w:rsidP="00D93239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lang/>
        </w:rPr>
      </w:pPr>
    </w:p>
    <w:p w:rsidR="00D93239" w:rsidRPr="00B36BDF" w:rsidRDefault="00D93239" w:rsidP="00D9323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Britanskog saveta u Beogradu </w:t>
      </w:r>
      <w:hyperlink r:id="rId11" w:history="1">
        <w:r w:rsidRPr="00B36BDF">
          <w:rPr>
            <w:rFonts w:ascii="Arial" w:hAnsi="Arial" w:cs="Arial"/>
            <w:color w:val="0000FF"/>
            <w:u w:val="single"/>
            <w:lang/>
          </w:rPr>
          <w:t>http://www.britishcouncil.rs/exam/ielt</w:t>
        </w:r>
      </w:hyperlink>
      <w:r w:rsidRPr="00B36BDF">
        <w:rPr>
          <w:rFonts w:ascii="Arial" w:hAnsi="Arial" w:cs="Arial"/>
          <w:color w:val="0000FF"/>
          <w:u w:val="single"/>
          <w:lang/>
        </w:rPr>
        <w:t>s</w:t>
      </w:r>
    </w:p>
    <w:p w:rsidR="00D93239" w:rsidRPr="00B36BDF" w:rsidRDefault="00D932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Upis </w:t>
      </w:r>
      <w:r w:rsidR="009C474C" w:rsidRPr="00B36BDF">
        <w:rPr>
          <w:rFonts w:ascii="Arial" w:hAnsi="Arial" w:cs="Arial"/>
          <w:lang/>
        </w:rPr>
        <w:t>prve</w:t>
      </w:r>
      <w:r w:rsidRPr="00B36BDF">
        <w:rPr>
          <w:rFonts w:ascii="Arial" w:hAnsi="Arial" w:cs="Arial"/>
          <w:lang/>
        </w:rPr>
        <w:t xml:space="preserve"> generacije studenata </w:t>
      </w:r>
      <w:r w:rsidR="009C474C" w:rsidRPr="00B36BDF">
        <w:rPr>
          <w:rFonts w:ascii="Arial" w:hAnsi="Arial" w:cs="Arial"/>
          <w:lang/>
        </w:rPr>
        <w:t>na ovaj program biće vršen u 2020</w:t>
      </w:r>
      <w:r w:rsidRPr="00B36BDF">
        <w:rPr>
          <w:rFonts w:ascii="Arial" w:hAnsi="Arial" w:cs="Arial"/>
          <w:lang/>
        </w:rPr>
        <w:t xml:space="preserve">. godini, na konkursnoj osnovi. Na kraju prve </w:t>
      </w:r>
      <w:r w:rsidR="009C474C" w:rsidRPr="00B36BDF">
        <w:rPr>
          <w:rFonts w:ascii="Arial" w:hAnsi="Arial" w:cs="Arial"/>
          <w:lang/>
        </w:rPr>
        <w:t>godine studija (u septembru 2020</w:t>
      </w:r>
      <w:r w:rsidRPr="00B36BDF">
        <w:rPr>
          <w:rFonts w:ascii="Arial" w:hAnsi="Arial" w:cs="Arial"/>
          <w:lang/>
        </w:rPr>
        <w:t>.) obaviće se rangiranje zainteresovanih studenata prema sledećim kriterijumima: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lang/>
        </w:rPr>
      </w:pPr>
    </w:p>
    <w:p w:rsidR="00E1241D" w:rsidRPr="00B36BDF" w:rsidRDefault="00E1241D" w:rsidP="00A9565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Uspeh ostvaren na studijama prve godine na Ekonomskom fakultetu (prosečna ocena x broj ESPB) 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lang/>
        </w:rPr>
      </w:pPr>
    </w:p>
    <w:p w:rsidR="00E1241D" w:rsidRPr="00B36BDF" w:rsidRDefault="00E1241D" w:rsidP="00A9565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Uspeh ostvaren na testu iz engleskog jezika 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Broj bodova će se izračunavati prema sledećoj formuli: 75% ponder </w:t>
      </w:r>
      <w:r w:rsidR="00F33D4E">
        <w:rPr>
          <w:rFonts w:ascii="Arial" w:hAnsi="Arial" w:cs="Arial"/>
          <w:lang/>
        </w:rPr>
        <w:t xml:space="preserve">- </w:t>
      </w:r>
      <w:r w:rsidRPr="00B36BDF">
        <w:rPr>
          <w:rFonts w:ascii="Arial" w:hAnsi="Arial" w:cs="Arial"/>
          <w:lang/>
        </w:rPr>
        <w:t xml:space="preserve">uspeh studiranja (suma ESPBxOcena) i 25% </w:t>
      </w:r>
      <w:r w:rsidR="00F33D4E">
        <w:rPr>
          <w:rFonts w:ascii="Arial" w:hAnsi="Arial" w:cs="Arial"/>
          <w:lang/>
        </w:rPr>
        <w:t xml:space="preserve">- </w:t>
      </w:r>
      <w:r w:rsidRPr="00B36BDF">
        <w:rPr>
          <w:rFonts w:ascii="Arial" w:hAnsi="Arial" w:cs="Arial"/>
          <w:lang/>
        </w:rPr>
        <w:t>uspeh na testu</w:t>
      </w:r>
      <w:r w:rsidR="00CC64AC" w:rsidRPr="00B36BDF">
        <w:rPr>
          <w:rFonts w:ascii="Arial" w:hAnsi="Arial" w:cs="Arial"/>
          <w:lang/>
        </w:rPr>
        <w:t xml:space="preserve"> iz engleskog jezika</w:t>
      </w:r>
      <w:r w:rsidRPr="00B36BDF">
        <w:rPr>
          <w:rFonts w:ascii="Arial" w:hAnsi="Arial" w:cs="Arial"/>
          <w:lang/>
        </w:rPr>
        <w:t>. Prvih 40 studenata sa rang liste će steći pravo upisa na ovaj međunarodni program.</w:t>
      </w:r>
    </w:p>
    <w:p w:rsidR="000C0CCE" w:rsidRPr="00B36BDF" w:rsidRDefault="000C0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Odabrani  studenti  se  moraju  registrovati  preko  On-line  sistema  Univerziteta  u  Londonu,  a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>Ekonomski fakultet će pružiti tehničku pomoć studentima u vezi sa ovom registracijom. Način registracije biće naknadno objavljen.</w:t>
      </w:r>
    </w:p>
    <w:p w:rsidR="00F96790" w:rsidRPr="00B36BDF" w:rsidRDefault="00F9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lang/>
        </w:rPr>
      </w:pPr>
    </w:p>
    <w:p w:rsidR="00E1241D" w:rsidRPr="00B36BDF" w:rsidRDefault="000A3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b/>
          <w:bCs/>
          <w:color w:val="1F497D"/>
          <w:lang/>
        </w:rPr>
        <w:t>Š</w:t>
      </w:r>
      <w:r w:rsidR="00E1241D" w:rsidRPr="00B36BDF">
        <w:rPr>
          <w:rFonts w:ascii="Arial" w:hAnsi="Arial" w:cs="Arial"/>
          <w:b/>
          <w:bCs/>
          <w:color w:val="1F497D"/>
          <w:lang/>
        </w:rPr>
        <w:t>KOLARINA</w:t>
      </w:r>
    </w:p>
    <w:p w:rsidR="00E1241D" w:rsidRPr="00B36BDF" w:rsidRDefault="00E1241D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lang/>
        </w:rPr>
      </w:pPr>
    </w:p>
    <w:p w:rsidR="00F33D4E" w:rsidRDefault="00E1241D" w:rsidP="00F9679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Studenti koji studiraju u okviru ovog programa, a imaju status budžetskog studenta na Univerzitetu u Beogradu, plaćaju samo školarinu Univerzitetu u Londonu. Oni student koji na Univerzitetu u Beogradu imaju status samofinansirajućeg studenta, pored školarine koja se plaća Univerzitetu u Londonu, plaćaju i školarinu Ekonomskom fakultetu u Beogradu, na način i </w:t>
      </w:r>
      <w:r w:rsidRPr="00B36BDF">
        <w:rPr>
          <w:rFonts w:ascii="Arial" w:hAnsi="Arial" w:cs="Arial"/>
          <w:lang/>
        </w:rPr>
        <w:lastRenderedPageBreak/>
        <w:t>u iznosu koji su definisani za osnovne akademske studije na Ekonomskom fakultetu.</w:t>
      </w:r>
    </w:p>
    <w:p w:rsidR="00F33D4E" w:rsidRDefault="00F33D4E" w:rsidP="00F9679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  <w:lang/>
        </w:rPr>
      </w:pPr>
    </w:p>
    <w:p w:rsidR="00F33D4E" w:rsidRDefault="00F33D4E" w:rsidP="00F9679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Kandidati koji nemaju status studenta na Ekonomskom fakultetu Univerziteta u Beogradu, a žele da slušaju nastavu iz navedenih predmeta, plaćaju školarinu u iznosu od 375 evra po predmetu.</w:t>
      </w:r>
    </w:p>
    <w:p w:rsidR="00F33D4E" w:rsidRPr="00B36BDF" w:rsidRDefault="00F33D4E" w:rsidP="00F9679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Arial" w:hAnsi="Arial" w:cs="Arial"/>
          <w:lang/>
        </w:rPr>
      </w:pPr>
    </w:p>
    <w:p w:rsidR="00E1241D" w:rsidRPr="00B36BDF" w:rsidRDefault="00E1241D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Školarina Univerziteta u Londonu se plaća </w:t>
      </w:r>
      <w:r w:rsidR="008F3C94" w:rsidRPr="00B36BDF">
        <w:rPr>
          <w:rFonts w:ascii="Arial" w:hAnsi="Arial" w:cs="Arial"/>
          <w:lang/>
        </w:rPr>
        <w:t>direktno Univerzitetu u Londonu</w:t>
      </w:r>
      <w:r w:rsidR="00F33D4E">
        <w:rPr>
          <w:rFonts w:ascii="Arial" w:hAnsi="Arial" w:cs="Arial"/>
          <w:lang/>
        </w:rPr>
        <w:t xml:space="preserve">, </w:t>
      </w:r>
      <w:r w:rsidRPr="00B36BDF">
        <w:rPr>
          <w:rFonts w:ascii="Arial" w:hAnsi="Arial" w:cs="Arial"/>
          <w:lang/>
        </w:rPr>
        <w:t>fazno, za svaku aktivnost posebno. U nastavku je dat pregled školarina.</w:t>
      </w:r>
      <w:r w:rsidR="00EA34D2" w:rsidRPr="00B36BDF">
        <w:rPr>
          <w:rStyle w:val="FootnoteReference"/>
          <w:rFonts w:ascii="Arial" w:hAnsi="Arial" w:cs="Arial"/>
          <w:lang/>
        </w:rPr>
        <w:footnoteReference w:id="3"/>
      </w:r>
    </w:p>
    <w:p w:rsidR="009F435C" w:rsidRPr="00B36BDF" w:rsidRDefault="009F435C">
      <w:pPr>
        <w:widowControl w:val="0"/>
        <w:overflowPunct w:val="0"/>
        <w:autoSpaceDE w:val="0"/>
        <w:autoSpaceDN w:val="0"/>
        <w:adjustRightInd w:val="0"/>
        <w:spacing w:after="0" w:line="242" w:lineRule="auto"/>
        <w:rPr>
          <w:rFonts w:ascii="Arial" w:hAnsi="Arial" w:cs="Arial"/>
          <w:lang/>
        </w:rPr>
      </w:pPr>
    </w:p>
    <w:tbl>
      <w:tblPr>
        <w:tblW w:w="9617" w:type="dxa"/>
        <w:tblInd w:w="93" w:type="dxa"/>
        <w:tblLook w:val="04A0"/>
      </w:tblPr>
      <w:tblGrid>
        <w:gridCol w:w="3842"/>
        <w:gridCol w:w="4348"/>
        <w:gridCol w:w="1427"/>
      </w:tblGrid>
      <w:tr w:rsidR="006F107D" w:rsidRPr="00F33D4E" w:rsidTr="00F96790">
        <w:trPr>
          <w:trHeight w:val="283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07D" w:rsidRPr="00F33D4E" w:rsidRDefault="00D158DD" w:rsidP="006F10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Tuition fees: 2019/20</w:t>
            </w:r>
          </w:p>
        </w:tc>
      </w:tr>
      <w:tr w:rsidR="006F107D" w:rsidRPr="00F33D4E" w:rsidTr="00F96790">
        <w:trPr>
          <w:trHeight w:val="269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D158DD" w:rsidP="006F107D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  <w:t>GBP (2019</w:t>
            </w:r>
            <w:r w:rsidR="006F107D"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  <w:t>)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  <w:t>Year 2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IELTS test*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IELTS test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107D" w:rsidRPr="00F33D4E" w:rsidRDefault="003F637F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187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Application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prijavu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167329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  97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Registration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upis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167329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1</w:t>
            </w:r>
            <w:r w:rsidR="003F637F"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,</w:t>
            </w: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000</w:t>
            </w:r>
          </w:p>
        </w:tc>
      </w:tr>
      <w:tr w:rsidR="006F107D" w:rsidRPr="00F33D4E" w:rsidTr="00F96790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7D" w:rsidRPr="00F33D4E" w:rsidRDefault="006F107D" w:rsidP="0016732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Examination fee (</w:t>
            </w:r>
            <w:r w:rsidR="00167329"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4 full courses</w:t>
            </w: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)**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ispite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167329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1</w:t>
            </w:r>
            <w:r w:rsidR="003F637F"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,</w:t>
            </w: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208</w:t>
            </w:r>
          </w:p>
        </w:tc>
      </w:tr>
      <w:tr w:rsidR="006F107D" w:rsidRPr="00F33D4E" w:rsidTr="00F96790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Accreditation of prior learning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Oslobađanje polaganja Matematike 1 i Statistike 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167329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103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British council invigilation fee***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Britanskog saveta ispit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240 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Total year 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Ukupno - 2. godina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3F637F" w:rsidP="000142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2,835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*Ukoliko student polaže IELTS test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* *Ukoliko je student oslobođen polaganja Matematike 1 i Statistike 1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***Prema trenutno dostupnim informacijama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  <w:t>Year 3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Continuing registration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upis u narednu godinu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3F637F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45</w:t>
            </w:r>
            <w:r w:rsidR="006F107D"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7 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Examination fee (4 full courses)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ispite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3F637F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1,208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British council invigilation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Britanskog saveta ispit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240 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Total year 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Ukupno - 3. godina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3F637F" w:rsidP="000142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            1,905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 </w:t>
            </w:r>
          </w:p>
        </w:tc>
      </w:tr>
      <w:tr w:rsidR="006F107D" w:rsidRPr="00F33D4E" w:rsidTr="00F96790">
        <w:trPr>
          <w:trHeight w:val="26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/>
              </w:rPr>
              <w:t>Year 4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Continuing registration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upis u narednu godinu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3F637F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45</w:t>
            </w:r>
            <w:r w:rsidR="006F107D"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7 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Ex</w:t>
            </w:r>
            <w:r w:rsidR="00CA6CC3"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amination fee (3</w:t>
            </w: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full courses)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za ispite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CA6CC3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906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British council invigilation fee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Naknada Britanskog saveta ispit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                 240 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Total year 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Ukupno - 4. godina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CA6CC3" w:rsidP="000142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            1,603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GRAND TOTAL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UKUPNO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107D" w:rsidRPr="00F33D4E" w:rsidRDefault="00CA6CC3" w:rsidP="000142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            6,343</w:t>
            </w: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F107D" w:rsidRPr="00F33D4E" w:rsidRDefault="006F107D" w:rsidP="000142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</w:tr>
      <w:tr w:rsidR="006F107D" w:rsidRPr="00F33D4E" w:rsidTr="00F96790">
        <w:trPr>
          <w:trHeight w:val="26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Average per year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6F107D" w:rsidP="006F10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Prosek po godini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07D" w:rsidRPr="00F33D4E" w:rsidRDefault="00C97E1F" w:rsidP="000142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            2,</w:t>
            </w:r>
            <w:r w:rsidR="00CA6CC3" w:rsidRPr="00F33D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114</w:t>
            </w:r>
          </w:p>
        </w:tc>
      </w:tr>
    </w:tbl>
    <w:p w:rsidR="000C0CCE" w:rsidRPr="00B36BDF" w:rsidRDefault="000C0CCE" w:rsidP="004848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/>
        </w:rPr>
      </w:pPr>
    </w:p>
    <w:p w:rsidR="00EA34D2" w:rsidRPr="00B36BDF" w:rsidRDefault="00E1241D" w:rsidP="0048488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lang/>
        </w:rPr>
      </w:pPr>
      <w:r w:rsidRPr="00B36BDF">
        <w:rPr>
          <w:rFonts w:ascii="Arial" w:hAnsi="Arial" w:cs="Arial"/>
          <w:lang/>
        </w:rPr>
        <w:t xml:space="preserve">Za sva dalja pitanja i informacije možete se obratiti Kancelariji za međunarodnu saradnju (br. 154,I sprat) ili na email: </w:t>
      </w:r>
      <w:hyperlink r:id="rId12" w:history="1">
        <w:r w:rsidRPr="00B36BDF">
          <w:rPr>
            <w:rFonts w:ascii="Arial" w:hAnsi="Arial" w:cs="Arial"/>
            <w:color w:val="0000FF"/>
            <w:u w:val="single"/>
            <w:lang/>
          </w:rPr>
          <w:t>cis@ekof.bg.ac.r</w:t>
        </w:r>
      </w:hyperlink>
      <w:r w:rsidRPr="00B36BDF">
        <w:rPr>
          <w:rFonts w:ascii="Arial" w:hAnsi="Arial" w:cs="Arial"/>
          <w:color w:val="0000FF"/>
          <w:u w:val="single"/>
          <w:lang/>
        </w:rPr>
        <w:t>s</w:t>
      </w:r>
    </w:p>
    <w:sectPr w:rsidR="00EA34D2" w:rsidRPr="00B36BDF" w:rsidSect="00AF33E6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C4" w:rsidRDefault="00356BC4" w:rsidP="00BD579A">
      <w:pPr>
        <w:spacing w:after="0" w:line="240" w:lineRule="auto"/>
      </w:pPr>
      <w:r>
        <w:separator/>
      </w:r>
    </w:p>
  </w:endnote>
  <w:endnote w:type="continuationSeparator" w:id="1">
    <w:p w:rsidR="00356BC4" w:rsidRDefault="00356BC4" w:rsidP="00B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C4" w:rsidRDefault="00356BC4" w:rsidP="00BD579A">
      <w:pPr>
        <w:spacing w:after="0" w:line="240" w:lineRule="auto"/>
      </w:pPr>
      <w:r>
        <w:separator/>
      </w:r>
    </w:p>
  </w:footnote>
  <w:footnote w:type="continuationSeparator" w:id="1">
    <w:p w:rsidR="00356BC4" w:rsidRDefault="00356BC4" w:rsidP="00BD579A">
      <w:pPr>
        <w:spacing w:after="0" w:line="240" w:lineRule="auto"/>
      </w:pPr>
      <w:r>
        <w:continuationSeparator/>
      </w:r>
    </w:p>
  </w:footnote>
  <w:footnote w:id="2">
    <w:p w:rsidR="00E8133F" w:rsidRPr="00113A17" w:rsidRDefault="00E8133F">
      <w:pPr>
        <w:pStyle w:val="FootnoteText"/>
        <w:rPr>
          <w:rFonts w:ascii="Arial" w:hAnsi="Arial" w:cs="Arial"/>
        </w:rPr>
      </w:pPr>
      <w:r w:rsidRPr="00113A17">
        <w:rPr>
          <w:rStyle w:val="FootnoteReference"/>
          <w:rFonts w:ascii="Arial" w:hAnsi="Arial" w:cs="Arial"/>
        </w:rPr>
        <w:footnoteRef/>
      </w:r>
      <w:r w:rsidRPr="00113A17">
        <w:rPr>
          <w:rFonts w:ascii="Arial" w:hAnsi="Arial" w:cs="Arial"/>
        </w:rPr>
        <w:t xml:space="preserve"> Sociologija, Matematika, Osnovi ekonomije, Osnovi statističke analize, Ekonomika preduzeća, Finansijsko računovodstvo i Osnovi makroekonomije.</w:t>
      </w:r>
    </w:p>
  </w:footnote>
  <w:footnote w:id="3">
    <w:p w:rsidR="00E8133F" w:rsidRPr="00F33D4E" w:rsidRDefault="00E8133F">
      <w:pPr>
        <w:pStyle w:val="FootnoteText"/>
        <w:rPr>
          <w:rFonts w:ascii="Arial" w:hAnsi="Arial" w:cs="Arial"/>
        </w:rPr>
      </w:pPr>
      <w:r w:rsidRPr="00F33D4E">
        <w:rPr>
          <w:rStyle w:val="FootnoteReference"/>
          <w:rFonts w:ascii="Arial" w:hAnsi="Arial" w:cs="Arial"/>
        </w:rPr>
        <w:footnoteRef/>
      </w:r>
      <w:r w:rsidRPr="00F33D4E">
        <w:rPr>
          <w:rFonts w:ascii="Arial" w:hAnsi="Arial" w:cs="Arial"/>
          <w:sz w:val="18"/>
          <w:szCs w:val="18"/>
        </w:rPr>
        <w:t xml:space="preserve">Školarine su definisane u britanskim funtama i podložne su korekciji za do 5% godišnje. Pregled troškova školarine dostupan i na stranici </w:t>
      </w:r>
      <w:hyperlink r:id="rId1" w:history="1">
        <w:r w:rsidR="00167329" w:rsidRPr="00F33D4E">
          <w:rPr>
            <w:rStyle w:val="Hyperlink"/>
            <w:rFonts w:ascii="Arial" w:hAnsi="Arial" w:cs="Arial"/>
          </w:rPr>
          <w:t>https://london.ac.uk/sites/default/files/schedules/emfss-fee-schedule-2019-20.pdf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64E1C4F"/>
    <w:multiLevelType w:val="multilevel"/>
    <w:tmpl w:val="5A6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E8100E"/>
    <w:multiLevelType w:val="multilevel"/>
    <w:tmpl w:val="4B4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3F08EF"/>
    <w:multiLevelType w:val="multilevel"/>
    <w:tmpl w:val="CBB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3F7DBE"/>
    <w:multiLevelType w:val="hybridMultilevel"/>
    <w:tmpl w:val="5E58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46C23"/>
    <w:multiLevelType w:val="multilevel"/>
    <w:tmpl w:val="84F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7021DD"/>
    <w:multiLevelType w:val="hybridMultilevel"/>
    <w:tmpl w:val="A36A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C499C"/>
    <w:multiLevelType w:val="multilevel"/>
    <w:tmpl w:val="389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13DC6"/>
    <w:multiLevelType w:val="multilevel"/>
    <w:tmpl w:val="3DD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56A74"/>
    <w:multiLevelType w:val="hybridMultilevel"/>
    <w:tmpl w:val="5AF6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83FC4"/>
    <w:multiLevelType w:val="hybridMultilevel"/>
    <w:tmpl w:val="184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B3C7C"/>
    <w:multiLevelType w:val="multilevel"/>
    <w:tmpl w:val="3044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839D9"/>
    <w:multiLevelType w:val="multilevel"/>
    <w:tmpl w:val="172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7485B"/>
    <w:multiLevelType w:val="hybridMultilevel"/>
    <w:tmpl w:val="38DCC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F66CDC"/>
    <w:multiLevelType w:val="hybridMultilevel"/>
    <w:tmpl w:val="F19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04CC3"/>
    <w:multiLevelType w:val="multilevel"/>
    <w:tmpl w:val="540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77167"/>
    <w:multiLevelType w:val="multilevel"/>
    <w:tmpl w:val="B26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8"/>
  </w:num>
  <w:num w:numId="14">
    <w:abstractNumId w:val="23"/>
  </w:num>
  <w:num w:numId="15">
    <w:abstractNumId w:val="19"/>
  </w:num>
  <w:num w:numId="16">
    <w:abstractNumId w:val="20"/>
  </w:num>
  <w:num w:numId="17">
    <w:abstractNumId w:val="24"/>
  </w:num>
  <w:num w:numId="18">
    <w:abstractNumId w:val="16"/>
  </w:num>
  <w:num w:numId="19">
    <w:abstractNumId w:val="10"/>
  </w:num>
  <w:num w:numId="20">
    <w:abstractNumId w:val="21"/>
  </w:num>
  <w:num w:numId="21">
    <w:abstractNumId w:val="17"/>
  </w:num>
  <w:num w:numId="22">
    <w:abstractNumId w:val="12"/>
  </w:num>
  <w:num w:numId="23">
    <w:abstractNumId w:val="25"/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058B2"/>
    <w:rsid w:val="00013895"/>
    <w:rsid w:val="000142D2"/>
    <w:rsid w:val="000439BC"/>
    <w:rsid w:val="00054EE1"/>
    <w:rsid w:val="00081008"/>
    <w:rsid w:val="000A3F18"/>
    <w:rsid w:val="000B26FD"/>
    <w:rsid w:val="000C0CCE"/>
    <w:rsid w:val="000C33B6"/>
    <w:rsid w:val="000C731E"/>
    <w:rsid w:val="000F07DC"/>
    <w:rsid w:val="001131DE"/>
    <w:rsid w:val="001132FD"/>
    <w:rsid w:val="00113A17"/>
    <w:rsid w:val="00125C5C"/>
    <w:rsid w:val="001553AD"/>
    <w:rsid w:val="00167329"/>
    <w:rsid w:val="00172480"/>
    <w:rsid w:val="00180EB4"/>
    <w:rsid w:val="001829EC"/>
    <w:rsid w:val="001A7EE0"/>
    <w:rsid w:val="001B152C"/>
    <w:rsid w:val="001B27CE"/>
    <w:rsid w:val="001E0CCB"/>
    <w:rsid w:val="002058B2"/>
    <w:rsid w:val="002063E8"/>
    <w:rsid w:val="0026567B"/>
    <w:rsid w:val="00280DF8"/>
    <w:rsid w:val="00285F0C"/>
    <w:rsid w:val="0029381E"/>
    <w:rsid w:val="002A7542"/>
    <w:rsid w:val="002B0EE1"/>
    <w:rsid w:val="0030161F"/>
    <w:rsid w:val="00302D18"/>
    <w:rsid w:val="0030598F"/>
    <w:rsid w:val="00314AC6"/>
    <w:rsid w:val="00356BC4"/>
    <w:rsid w:val="003B6BA7"/>
    <w:rsid w:val="003F637F"/>
    <w:rsid w:val="00421843"/>
    <w:rsid w:val="004466DA"/>
    <w:rsid w:val="004807C9"/>
    <w:rsid w:val="0048488F"/>
    <w:rsid w:val="004B3D7B"/>
    <w:rsid w:val="005149D8"/>
    <w:rsid w:val="00516328"/>
    <w:rsid w:val="00541414"/>
    <w:rsid w:val="005636DB"/>
    <w:rsid w:val="00566410"/>
    <w:rsid w:val="0059066C"/>
    <w:rsid w:val="005A57CE"/>
    <w:rsid w:val="005A6118"/>
    <w:rsid w:val="005C3B5E"/>
    <w:rsid w:val="006575F6"/>
    <w:rsid w:val="00665F1B"/>
    <w:rsid w:val="006F107D"/>
    <w:rsid w:val="007379A7"/>
    <w:rsid w:val="007463EF"/>
    <w:rsid w:val="007646A9"/>
    <w:rsid w:val="007A73CB"/>
    <w:rsid w:val="007C4BDD"/>
    <w:rsid w:val="007E088E"/>
    <w:rsid w:val="007F2078"/>
    <w:rsid w:val="00821B21"/>
    <w:rsid w:val="00827D84"/>
    <w:rsid w:val="00836E4A"/>
    <w:rsid w:val="008B335E"/>
    <w:rsid w:val="008D5DCC"/>
    <w:rsid w:val="008F01DB"/>
    <w:rsid w:val="008F3C94"/>
    <w:rsid w:val="008F5525"/>
    <w:rsid w:val="009007BF"/>
    <w:rsid w:val="00931520"/>
    <w:rsid w:val="0098743C"/>
    <w:rsid w:val="009A78F5"/>
    <w:rsid w:val="009C1BA9"/>
    <w:rsid w:val="009C474C"/>
    <w:rsid w:val="009F435C"/>
    <w:rsid w:val="00A0030E"/>
    <w:rsid w:val="00A256C3"/>
    <w:rsid w:val="00A423FF"/>
    <w:rsid w:val="00A77095"/>
    <w:rsid w:val="00A9565B"/>
    <w:rsid w:val="00AC6AF4"/>
    <w:rsid w:val="00AF33E6"/>
    <w:rsid w:val="00AF6E85"/>
    <w:rsid w:val="00AF7403"/>
    <w:rsid w:val="00B133EF"/>
    <w:rsid w:val="00B36898"/>
    <w:rsid w:val="00B36BDF"/>
    <w:rsid w:val="00B80CAB"/>
    <w:rsid w:val="00BC0957"/>
    <w:rsid w:val="00BD579A"/>
    <w:rsid w:val="00BD6FFE"/>
    <w:rsid w:val="00BE61D7"/>
    <w:rsid w:val="00C014DA"/>
    <w:rsid w:val="00C01ED5"/>
    <w:rsid w:val="00C25CC3"/>
    <w:rsid w:val="00C538B7"/>
    <w:rsid w:val="00C82CB6"/>
    <w:rsid w:val="00C9297A"/>
    <w:rsid w:val="00C97E1F"/>
    <w:rsid w:val="00CA6CC3"/>
    <w:rsid w:val="00CB63A2"/>
    <w:rsid w:val="00CC16B4"/>
    <w:rsid w:val="00CC64AC"/>
    <w:rsid w:val="00CC7AA7"/>
    <w:rsid w:val="00CF7AEC"/>
    <w:rsid w:val="00D112A0"/>
    <w:rsid w:val="00D12B72"/>
    <w:rsid w:val="00D158DD"/>
    <w:rsid w:val="00D30997"/>
    <w:rsid w:val="00D41937"/>
    <w:rsid w:val="00D50DB9"/>
    <w:rsid w:val="00D540F5"/>
    <w:rsid w:val="00D57F92"/>
    <w:rsid w:val="00D81CE1"/>
    <w:rsid w:val="00D822B1"/>
    <w:rsid w:val="00D93239"/>
    <w:rsid w:val="00D940F4"/>
    <w:rsid w:val="00D95656"/>
    <w:rsid w:val="00DE3612"/>
    <w:rsid w:val="00E1241D"/>
    <w:rsid w:val="00E1248A"/>
    <w:rsid w:val="00E23C37"/>
    <w:rsid w:val="00E8133F"/>
    <w:rsid w:val="00EA34D2"/>
    <w:rsid w:val="00ED4F23"/>
    <w:rsid w:val="00F26E77"/>
    <w:rsid w:val="00F33D4E"/>
    <w:rsid w:val="00F9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E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1D7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579A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79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5F1B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s@ekof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ishcouncil.rs/exam/ie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ndon.ac.uk/applications/how-apply/english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ndon.ac.uk/business-and-management-standard-rout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ndon.ac.uk/sites/default/files/schedules/emfss-fee-schedule-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09D0-8C84-4AB2-9B4E-C97F33B3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Cvetanovic</dc:creator>
  <cp:lastModifiedBy>Jelena Cvetanovic</cp:lastModifiedBy>
  <cp:revision>16</cp:revision>
  <cp:lastPrinted>2017-04-27T10:42:00Z</cp:lastPrinted>
  <dcterms:created xsi:type="dcterms:W3CDTF">2018-08-22T10:18:00Z</dcterms:created>
  <dcterms:modified xsi:type="dcterms:W3CDTF">2019-06-12T10:20:00Z</dcterms:modified>
</cp:coreProperties>
</file>